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D1" w:rsidRDefault="003A00D1" w:rsidP="003A00D1">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9" o:title=""/>
          </v:shape>
          <o:OLEObject Type="Embed" ProgID="Presentations.Drawing.15" ShapeID="_x0000_i1025" DrawAspect="Content" ObjectID="_1396080693" r:id="rId10"/>
        </w:object>
      </w:r>
      <w:r>
        <w:t xml:space="preserve"> </w:t>
      </w:r>
      <w:r>
        <w:ptab w:relativeTo="margin" w:alignment="right" w:leader="none"/>
      </w:r>
    </w:p>
    <w:p w:rsidR="003A00D1" w:rsidRDefault="003A00D1" w:rsidP="003A00D1">
      <w:pPr>
        <w:pStyle w:val="En-tte"/>
      </w:pPr>
    </w:p>
    <w:p w:rsidR="003A00D1" w:rsidRPr="001E12E2" w:rsidRDefault="003A00D1" w:rsidP="003A00D1">
      <w:pPr>
        <w:jc w:val="center"/>
        <w:rPr>
          <w:b/>
        </w:rPr>
      </w:pPr>
      <w:r w:rsidRPr="001E12E2">
        <w:rPr>
          <w:b/>
        </w:rPr>
        <w:t>COUR SUPRÊME DU CANADA</w:t>
      </w:r>
    </w:p>
    <w:p w:rsidR="003A00D1" w:rsidRDefault="003A00D1" w:rsidP="003A00D1">
      <w:pPr>
        <w:pStyle w:val="En-tte"/>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A00D1" w:rsidRPr="001E12E2" w:rsidTr="00540EA9">
        <w:trPr>
          <w:cantSplit/>
        </w:trPr>
        <w:tc>
          <w:tcPr>
            <w:tcW w:w="6768" w:type="dxa"/>
          </w:tcPr>
          <w:p w:rsidR="003A00D1" w:rsidRPr="003966EE" w:rsidRDefault="003A00D1" w:rsidP="00540EA9">
            <w:pPr>
              <w:rPr>
                <w:lang w:val="en-US"/>
              </w:rPr>
            </w:pPr>
            <w:proofErr w:type="spellStart"/>
            <w:r w:rsidRPr="003966EE">
              <w:rPr>
                <w:b/>
                <w:smallCaps/>
                <w:lang w:val="en-US"/>
              </w:rPr>
              <w:t>Référence</w:t>
            </w:r>
            <w:proofErr w:type="spellEnd"/>
            <w:r w:rsidRPr="003966EE">
              <w:rPr>
                <w:b/>
                <w:smallCaps/>
                <w:lang w:val="en-US"/>
              </w:rPr>
              <w:t xml:space="preserve"> </w:t>
            </w:r>
            <w:r w:rsidRPr="00512AFE">
              <w:rPr>
                <w:b/>
                <w:lang w:val="en-US"/>
              </w:rPr>
              <w:t>:</w:t>
            </w:r>
            <w:r w:rsidRPr="003966EE">
              <w:rPr>
                <w:lang w:val="en-US"/>
              </w:rPr>
              <w:t xml:space="preserve">  </w:t>
            </w:r>
            <w:proofErr w:type="spellStart"/>
            <w:r w:rsidRPr="00933D77">
              <w:rPr>
                <w:lang w:val="en-US"/>
              </w:rPr>
              <w:t>Aecon</w:t>
            </w:r>
            <w:proofErr w:type="spellEnd"/>
            <w:r w:rsidRPr="00933D77">
              <w:rPr>
                <w:lang w:val="en-US"/>
              </w:rPr>
              <w:t xml:space="preserve"> Building</w:t>
            </w:r>
            <w:r>
              <w:rPr>
                <w:lang w:val="en-US"/>
              </w:rPr>
              <w:t>s</w:t>
            </w:r>
            <w:r w:rsidRPr="003966EE">
              <w:rPr>
                <w:rStyle w:val="SCCAppellantForIndexChar"/>
                <w:b w:val="0"/>
                <w:lang w:val="en-US"/>
              </w:rPr>
              <w:t xml:space="preserve"> </w:t>
            </w:r>
            <w:r w:rsidRPr="003966EE">
              <w:rPr>
                <w:i/>
                <w:lang w:val="en-US"/>
              </w:rPr>
              <w:t>c.</w:t>
            </w:r>
            <w:r w:rsidRPr="003966EE">
              <w:rPr>
                <w:lang w:val="en-US"/>
              </w:rPr>
              <w:t xml:space="preserve"> Stephenson Engineering Ltd.</w:t>
            </w:r>
            <w:r w:rsidRPr="003966EE">
              <w:rPr>
                <w:rStyle w:val="SCCRespondentForIndexChar"/>
                <w:b w:val="0"/>
                <w:lang w:val="en-US"/>
              </w:rPr>
              <w:t>, 201</w:t>
            </w:r>
            <w:r>
              <w:rPr>
                <w:rStyle w:val="SCCRespondentForIndexChar"/>
                <w:b w:val="0"/>
                <w:lang w:val="en-US"/>
              </w:rPr>
              <w:t>1</w:t>
            </w:r>
            <w:r w:rsidRPr="003966EE">
              <w:rPr>
                <w:rStyle w:val="SCCRespondentForIndexChar"/>
                <w:b w:val="0"/>
                <w:lang w:val="en-US"/>
              </w:rPr>
              <w:t xml:space="preserve"> CSC </w:t>
            </w:r>
            <w:r>
              <w:rPr>
                <w:rStyle w:val="SCCRespondentForIndexChar"/>
                <w:b w:val="0"/>
                <w:lang w:val="en-US"/>
              </w:rPr>
              <w:t>33</w:t>
            </w:r>
            <w:r w:rsidRPr="003966EE">
              <w:rPr>
                <w:rStyle w:val="SCCRespondentForIndexChar"/>
                <w:b w:val="0"/>
                <w:lang w:val="en-US"/>
              </w:rPr>
              <w:t>, [201</w:t>
            </w:r>
            <w:r>
              <w:rPr>
                <w:rStyle w:val="SCCRespondentForIndexChar"/>
                <w:b w:val="0"/>
                <w:lang w:val="en-US"/>
              </w:rPr>
              <w:t>1</w:t>
            </w:r>
            <w:r w:rsidRPr="003966EE">
              <w:rPr>
                <w:rStyle w:val="SCCRespondentForIndexChar"/>
                <w:b w:val="0"/>
                <w:lang w:val="en-US"/>
              </w:rPr>
              <w:t xml:space="preserve">] </w:t>
            </w:r>
            <w:r>
              <w:rPr>
                <w:rStyle w:val="SCCRespondentForIndexChar"/>
                <w:b w:val="0"/>
                <w:lang w:val="en-US"/>
              </w:rPr>
              <w:t>2</w:t>
            </w:r>
            <w:r w:rsidRPr="003966EE">
              <w:rPr>
                <w:rStyle w:val="SCCRespondentForIndexChar"/>
                <w:b w:val="0"/>
                <w:lang w:val="en-US"/>
              </w:rPr>
              <w:t xml:space="preserve"> R.C.S. </w:t>
            </w:r>
            <w:r>
              <w:rPr>
                <w:rStyle w:val="SCCRespondentForIndexChar"/>
                <w:b w:val="0"/>
                <w:lang w:val="en-US"/>
              </w:rPr>
              <w:t>560</w:t>
            </w:r>
          </w:p>
        </w:tc>
        <w:tc>
          <w:tcPr>
            <w:tcW w:w="2808" w:type="dxa"/>
          </w:tcPr>
          <w:p w:rsidR="003A00D1" w:rsidRPr="001E12E2" w:rsidRDefault="003A00D1" w:rsidP="00540EA9">
            <w:r w:rsidRPr="001E12E2">
              <w:rPr>
                <w:b/>
                <w:smallCaps/>
              </w:rPr>
              <w:t xml:space="preserve">Date </w:t>
            </w:r>
            <w:r w:rsidRPr="001E12E2">
              <w:t xml:space="preserve">: </w:t>
            </w:r>
            <w:r>
              <w:t>20110623</w:t>
            </w:r>
          </w:p>
          <w:p w:rsidR="003A00D1" w:rsidRPr="001E12E2" w:rsidRDefault="003A00D1" w:rsidP="00540EA9">
            <w:r w:rsidRPr="001E12E2">
              <w:rPr>
                <w:b/>
                <w:smallCaps/>
              </w:rPr>
              <w:t>Do</w:t>
            </w:r>
            <w:r>
              <w:rPr>
                <w:b/>
                <w:smallCaps/>
              </w:rPr>
              <w:t>ssier</w:t>
            </w:r>
            <w:r w:rsidRPr="001E12E2">
              <w:rPr>
                <w:b/>
                <w:smallCaps/>
              </w:rPr>
              <w:t xml:space="preserve"> </w:t>
            </w:r>
            <w:r w:rsidRPr="001E12E2">
              <w:t xml:space="preserve">: </w:t>
            </w:r>
            <w:r>
              <w:t>34112</w:t>
            </w:r>
          </w:p>
        </w:tc>
      </w:tr>
    </w:tbl>
    <w:p w:rsidR="003A00D1" w:rsidRPr="001E12E2" w:rsidRDefault="003A00D1" w:rsidP="003A00D1"/>
    <w:p w:rsidR="003A00D1" w:rsidRDefault="003A00D1" w:rsidP="003A00D1">
      <w:pPr>
        <w:pStyle w:val="SCCLsocPrefix"/>
      </w:pPr>
      <w:r>
        <w:t>Entre :</w:t>
      </w:r>
    </w:p>
    <w:p w:rsidR="003A00D1" w:rsidRPr="003966EE" w:rsidRDefault="003A00D1" w:rsidP="003A00D1">
      <w:pPr>
        <w:pStyle w:val="SCCLsocParty"/>
        <w:tabs>
          <w:tab w:val="right" w:pos="8280"/>
        </w:tabs>
        <w:jc w:val="center"/>
        <w:rPr>
          <w:lang w:val="en-US"/>
        </w:rPr>
      </w:pPr>
      <w:proofErr w:type="spellStart"/>
      <w:proofErr w:type="gramStart"/>
      <w:r w:rsidRPr="00933D77">
        <w:rPr>
          <w:lang w:val="en-US"/>
        </w:rPr>
        <w:t>Aecon</w:t>
      </w:r>
      <w:proofErr w:type="spellEnd"/>
      <w:r w:rsidRPr="00933D77">
        <w:rPr>
          <w:lang w:val="en-US"/>
        </w:rPr>
        <w:t xml:space="preserve"> Building</w:t>
      </w:r>
      <w:r>
        <w:rPr>
          <w:lang w:val="en-US"/>
        </w:rPr>
        <w:t>s</w:t>
      </w:r>
      <w:r w:rsidRPr="00933D77">
        <w:rPr>
          <w:lang w:val="en-US"/>
        </w:rPr>
        <w:t xml:space="preserve">, </w:t>
      </w:r>
      <w:proofErr w:type="spellStart"/>
      <w:r>
        <w:rPr>
          <w:lang w:val="en-US"/>
        </w:rPr>
        <w:t>une</w:t>
      </w:r>
      <w:proofErr w:type="spellEnd"/>
      <w:r>
        <w:rPr>
          <w:lang w:val="en-US"/>
        </w:rPr>
        <w:t xml:space="preserve"> division </w:t>
      </w:r>
      <w:proofErr w:type="spellStart"/>
      <w:r w:rsidRPr="003966EE">
        <w:rPr>
          <w:lang w:val="en-US"/>
        </w:rPr>
        <w:t>d’Aecon</w:t>
      </w:r>
      <w:proofErr w:type="spellEnd"/>
      <w:r w:rsidRPr="003966EE">
        <w:rPr>
          <w:lang w:val="en-US"/>
        </w:rPr>
        <w:t xml:space="preserve"> Construction Group Inc.</w:t>
      </w:r>
      <w:proofErr w:type="gramEnd"/>
    </w:p>
    <w:p w:rsidR="003A00D1" w:rsidRDefault="003A00D1" w:rsidP="003A00D1">
      <w:pPr>
        <w:pStyle w:val="SCCLsocPartyRole"/>
        <w:jc w:val="center"/>
      </w:pPr>
      <w:r>
        <w:t>Demanderesse/Requérante à la requête</w:t>
      </w:r>
    </w:p>
    <w:p w:rsidR="003A00D1" w:rsidRDefault="003A00D1" w:rsidP="003A00D1">
      <w:pPr>
        <w:pStyle w:val="SCCLsocVersus"/>
        <w:jc w:val="center"/>
      </w:pPr>
      <w:proofErr w:type="gramStart"/>
      <w:r>
        <w:t>et</w:t>
      </w:r>
      <w:proofErr w:type="gramEnd"/>
    </w:p>
    <w:p w:rsidR="003A00D1" w:rsidRDefault="003A00D1" w:rsidP="003A00D1">
      <w:pPr>
        <w:pStyle w:val="SCCLsocParty"/>
        <w:jc w:val="center"/>
      </w:pPr>
      <w:r w:rsidRPr="00E07B54">
        <w:t>Stephenson Engineering Limited</w:t>
      </w:r>
    </w:p>
    <w:p w:rsidR="003A00D1" w:rsidRDefault="003A00D1" w:rsidP="003A00D1">
      <w:pPr>
        <w:pStyle w:val="SCCLsocPartyRole"/>
        <w:jc w:val="center"/>
      </w:pPr>
      <w:r>
        <w:t>Intimée/Intimée à la requête</w:t>
      </w:r>
    </w:p>
    <w:p w:rsidR="003A00D1" w:rsidRDefault="003A00D1" w:rsidP="003A00D1"/>
    <w:p w:rsidR="003A00D1" w:rsidRPr="001E12E2" w:rsidRDefault="003A00D1" w:rsidP="003A00D1">
      <w:pPr>
        <w:jc w:val="center"/>
        <w:rPr>
          <w:b/>
          <w:smallCaps/>
        </w:rPr>
      </w:pPr>
      <w:r>
        <w:rPr>
          <w:b/>
          <w:smallCaps/>
        </w:rPr>
        <w:t>Traduction française o</w:t>
      </w:r>
      <w:r w:rsidRPr="001E12E2">
        <w:rPr>
          <w:b/>
          <w:smallCaps/>
        </w:rPr>
        <w:t>ffici</w:t>
      </w:r>
      <w:r>
        <w:rPr>
          <w:b/>
          <w:smallCaps/>
        </w:rPr>
        <w:t>elle</w:t>
      </w:r>
    </w:p>
    <w:p w:rsidR="003A00D1" w:rsidRPr="001E12E2" w:rsidRDefault="003A00D1" w:rsidP="003A00D1"/>
    <w:p w:rsidR="003A00D1" w:rsidRPr="001E12E2" w:rsidRDefault="003A00D1" w:rsidP="003A00D1">
      <w:r w:rsidRPr="001E12E2">
        <w:rPr>
          <w:b/>
          <w:smallCaps/>
        </w:rPr>
        <w:t xml:space="preserve">Coram </w:t>
      </w:r>
      <w:r w:rsidRPr="001E12E2">
        <w:t xml:space="preserve">: </w:t>
      </w:r>
      <w:r>
        <w:t xml:space="preserve">Les juges </w:t>
      </w:r>
      <w:proofErr w:type="spellStart"/>
      <w:r>
        <w:t>Binnie</w:t>
      </w:r>
      <w:proofErr w:type="spellEnd"/>
      <w:r>
        <w:t xml:space="preserve">, Abella et </w:t>
      </w:r>
      <w:proofErr w:type="spellStart"/>
      <w:r>
        <w:t>Rothstein</w:t>
      </w:r>
      <w:proofErr w:type="spellEnd"/>
    </w:p>
    <w:p w:rsidR="003A00D1" w:rsidRPr="001E12E2" w:rsidRDefault="003A00D1" w:rsidP="003A00D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A00D1" w:rsidRPr="001E12E2" w:rsidTr="00540EA9">
        <w:trPr>
          <w:cantSplit/>
        </w:trPr>
        <w:tc>
          <w:tcPr>
            <w:tcW w:w="3618" w:type="dxa"/>
          </w:tcPr>
          <w:p w:rsidR="003A00D1" w:rsidRDefault="003A00D1" w:rsidP="00540EA9">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3A00D1" w:rsidRDefault="003A00D1" w:rsidP="00540EA9">
            <w:r>
              <w:t>(requête en production de nouveaux éléments de preuve)</w:t>
            </w:r>
          </w:p>
          <w:p w:rsidR="003A00D1" w:rsidRPr="001E12E2" w:rsidRDefault="003A00D1" w:rsidP="00540EA9">
            <w:r>
              <w:t>(par. 1 à 10)</w:t>
            </w:r>
          </w:p>
        </w:tc>
        <w:tc>
          <w:tcPr>
            <w:tcW w:w="5958" w:type="dxa"/>
          </w:tcPr>
          <w:p w:rsidR="003A00D1" w:rsidRDefault="003A00D1" w:rsidP="00540EA9">
            <w:r>
              <w:t xml:space="preserve">Le juge </w:t>
            </w:r>
            <w:proofErr w:type="spellStart"/>
            <w:r>
              <w:t>Binnie</w:t>
            </w:r>
            <w:proofErr w:type="spellEnd"/>
            <w:r>
              <w:t xml:space="preserve"> (avec l’accord des juges Abella et </w:t>
            </w:r>
            <w:proofErr w:type="spellStart"/>
            <w:r>
              <w:t>Rothstein</w:t>
            </w:r>
            <w:proofErr w:type="spellEnd"/>
            <w:r>
              <w:t>)</w:t>
            </w:r>
          </w:p>
          <w:p w:rsidR="003A00D1" w:rsidRPr="001E12E2" w:rsidRDefault="003A00D1" w:rsidP="00540EA9"/>
        </w:tc>
      </w:tr>
    </w:tbl>
    <w:p w:rsidR="003A00D1" w:rsidRPr="001E12E2" w:rsidRDefault="00EA364C" w:rsidP="003A00D1">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A00D1" w:rsidRPr="003A00D1" w:rsidRDefault="003A00D1">
      <w:r w:rsidRPr="003A00D1">
        <w:br w:type="page"/>
      </w:r>
    </w:p>
    <w:p w:rsidR="00E07B54" w:rsidRPr="00575C8A" w:rsidRDefault="009B1F16" w:rsidP="00DA24B1">
      <w:pPr>
        <w:spacing w:after="720"/>
        <w:jc w:val="both"/>
        <w:rPr>
          <w:rStyle w:val="SCCRespondentForRunningHeadChar"/>
          <w:lang w:val="en-US"/>
        </w:rPr>
      </w:pPr>
      <w:proofErr w:type="spellStart"/>
      <w:r w:rsidRPr="00E07B54">
        <w:rPr>
          <w:lang w:val="en-CA"/>
        </w:rPr>
        <w:lastRenderedPageBreak/>
        <w:t>Aecon</w:t>
      </w:r>
      <w:proofErr w:type="spellEnd"/>
      <w:r w:rsidRPr="00E07B54">
        <w:rPr>
          <w:lang w:val="en-CA"/>
        </w:rPr>
        <w:t xml:space="preserve"> Buildings </w:t>
      </w:r>
      <w:r>
        <w:rPr>
          <w:i/>
          <w:lang w:val="en-CA"/>
        </w:rPr>
        <w:t>c</w:t>
      </w:r>
      <w:r w:rsidRPr="00E07B54">
        <w:rPr>
          <w:i/>
          <w:lang w:val="en-CA"/>
        </w:rPr>
        <w:t>.</w:t>
      </w:r>
      <w:r w:rsidRPr="00E07B54">
        <w:rPr>
          <w:lang w:val="en-CA"/>
        </w:rPr>
        <w:t xml:space="preserve"> Stephenson Engineering Ltd.</w:t>
      </w:r>
      <w:r>
        <w:rPr>
          <w:smallCaps/>
          <w:lang w:val="en-US"/>
        </w:rPr>
        <w:t xml:space="preserve">, </w:t>
      </w:r>
      <w:r>
        <w:rPr>
          <w:rStyle w:val="SCCRespondentForRunningHeadChar"/>
          <w:lang w:val="en-US"/>
        </w:rPr>
        <w:t>2011 CSC 33, [2011] 2 R.C.S. 560</w:t>
      </w:r>
    </w:p>
    <w:p w:rsidR="00DA24B1" w:rsidRPr="002077C7" w:rsidRDefault="00E07B54" w:rsidP="00DA24B1">
      <w:pPr>
        <w:pStyle w:val="SCCLsocParty"/>
        <w:tabs>
          <w:tab w:val="right" w:pos="8280"/>
        </w:tabs>
        <w:rPr>
          <w:lang w:val="en-US"/>
        </w:rPr>
      </w:pPr>
      <w:proofErr w:type="spellStart"/>
      <w:r w:rsidRPr="002077C7">
        <w:rPr>
          <w:lang w:val="en-US"/>
        </w:rPr>
        <w:t>Aecon</w:t>
      </w:r>
      <w:proofErr w:type="spellEnd"/>
      <w:r w:rsidRPr="002077C7">
        <w:rPr>
          <w:lang w:val="en-US"/>
        </w:rPr>
        <w:t xml:space="preserve"> Buildings, </w:t>
      </w:r>
      <w:proofErr w:type="spellStart"/>
      <w:r w:rsidR="00F64FB9" w:rsidRPr="002077C7">
        <w:rPr>
          <w:lang w:val="en-US"/>
        </w:rPr>
        <w:t>une</w:t>
      </w:r>
      <w:proofErr w:type="spellEnd"/>
      <w:r w:rsidR="00F64FB9" w:rsidRPr="002077C7">
        <w:rPr>
          <w:lang w:val="en-US"/>
        </w:rPr>
        <w:t xml:space="preserve"> division </w:t>
      </w:r>
    </w:p>
    <w:p w:rsidR="00E07B54" w:rsidRPr="00DA24B1" w:rsidRDefault="00F64FB9" w:rsidP="00DA24B1">
      <w:pPr>
        <w:pStyle w:val="SCCLsocParty"/>
        <w:tabs>
          <w:tab w:val="right" w:pos="8280"/>
        </w:tabs>
        <w:spacing w:after="720"/>
        <w:rPr>
          <w:b w:val="0"/>
        </w:rPr>
      </w:pPr>
      <w:proofErr w:type="spellStart"/>
      <w:proofErr w:type="gramStart"/>
      <w:r w:rsidRPr="002077C7">
        <w:rPr>
          <w:lang w:val="en-US"/>
        </w:rPr>
        <w:t>d’</w:t>
      </w:r>
      <w:r w:rsidR="00E07B54" w:rsidRPr="002077C7">
        <w:rPr>
          <w:lang w:val="en-US"/>
        </w:rPr>
        <w:t>Aecon</w:t>
      </w:r>
      <w:proofErr w:type="spellEnd"/>
      <w:proofErr w:type="gramEnd"/>
      <w:r w:rsidR="00E07B54" w:rsidRPr="002077C7">
        <w:rPr>
          <w:lang w:val="en-US"/>
        </w:rPr>
        <w:t xml:space="preserve"> Construction Group Inc.</w:t>
      </w:r>
      <w:r w:rsidR="00271E1D" w:rsidRPr="002077C7">
        <w:rPr>
          <w:lang w:val="en-US"/>
        </w:rPr>
        <w:tab/>
      </w:r>
      <w:r w:rsidR="00E07B54" w:rsidRPr="00E07B54">
        <w:rPr>
          <w:b w:val="0"/>
          <w:i/>
        </w:rPr>
        <w:t>Demanderesse/Requérante à la requête</w:t>
      </w:r>
    </w:p>
    <w:p w:rsidR="00A34E79" w:rsidRPr="00DA24B1" w:rsidRDefault="005B6095" w:rsidP="00DA24B1">
      <w:pPr>
        <w:pStyle w:val="SCCLsocParty"/>
        <w:tabs>
          <w:tab w:val="right" w:pos="8280"/>
        </w:tabs>
        <w:spacing w:after="720"/>
        <w:rPr>
          <w:b w:val="0"/>
          <w:i/>
        </w:rPr>
      </w:pPr>
      <w:proofErr w:type="gramStart"/>
      <w:r w:rsidRPr="00DA24B1">
        <w:rPr>
          <w:b w:val="0"/>
          <w:i/>
        </w:rPr>
        <w:t>c</w:t>
      </w:r>
      <w:proofErr w:type="gramEnd"/>
      <w:r w:rsidRPr="00DA24B1">
        <w:rPr>
          <w:b w:val="0"/>
          <w:i/>
        </w:rPr>
        <w:t>.</w:t>
      </w:r>
    </w:p>
    <w:p w:rsidR="00E07B54" w:rsidRPr="00E07B54" w:rsidRDefault="00E07B54" w:rsidP="00DA24B1">
      <w:pPr>
        <w:pStyle w:val="SCCLsocParty"/>
        <w:tabs>
          <w:tab w:val="right" w:pos="8280"/>
        </w:tabs>
        <w:spacing w:after="720"/>
        <w:rPr>
          <w:b w:val="0"/>
          <w:i/>
        </w:rPr>
      </w:pPr>
      <w:r w:rsidRPr="00E07B54">
        <w:t>Stephenson Engineering Limited</w:t>
      </w:r>
      <w:r w:rsidR="00271E1D" w:rsidRPr="00E07B54">
        <w:tab/>
      </w:r>
      <w:r w:rsidRPr="00E07B54">
        <w:rPr>
          <w:b w:val="0"/>
          <w:i/>
        </w:rPr>
        <w:t>Intimée</w:t>
      </w:r>
      <w:r w:rsidRPr="00E07B54">
        <w:rPr>
          <w:i/>
        </w:rPr>
        <w:t>/</w:t>
      </w:r>
      <w:r w:rsidRPr="00E07B54">
        <w:rPr>
          <w:b w:val="0"/>
          <w:i/>
        </w:rPr>
        <w:t>Intimée à la requête</w:t>
      </w:r>
    </w:p>
    <w:p w:rsidR="00426659" w:rsidRPr="00E07B54" w:rsidRDefault="0043088E" w:rsidP="00DA24B1">
      <w:pPr>
        <w:pStyle w:val="SCCLsocParty"/>
        <w:tabs>
          <w:tab w:val="right" w:pos="8280"/>
        </w:tabs>
        <w:spacing w:after="720"/>
        <w:rPr>
          <w:lang w:val="en-CA"/>
        </w:rPr>
      </w:pPr>
      <w:proofErr w:type="spellStart"/>
      <w:proofErr w:type="gramStart"/>
      <w:r w:rsidRPr="00E07B54">
        <w:rPr>
          <w:lang w:val="en-CA"/>
        </w:rPr>
        <w:t>Répertorié</w:t>
      </w:r>
      <w:proofErr w:type="spellEnd"/>
      <w:r w:rsidR="00C67CA5" w:rsidRPr="00E07B54">
        <w:rPr>
          <w:lang w:val="en-CA"/>
        </w:rPr>
        <w:t> </w:t>
      </w:r>
      <w:r w:rsidR="00426659" w:rsidRPr="00E07B54">
        <w:rPr>
          <w:lang w:val="en-CA"/>
        </w:rPr>
        <w:t>:</w:t>
      </w:r>
      <w:proofErr w:type="gramEnd"/>
      <w:r w:rsidR="00C67CA5" w:rsidRPr="00E07B54">
        <w:rPr>
          <w:lang w:val="en-CA"/>
        </w:rPr>
        <w:t> </w:t>
      </w:r>
      <w:proofErr w:type="spellStart"/>
      <w:r w:rsidR="00E07B54" w:rsidRPr="00E07B54">
        <w:rPr>
          <w:lang w:val="en-CA"/>
        </w:rPr>
        <w:t>Aecon</w:t>
      </w:r>
      <w:proofErr w:type="spellEnd"/>
      <w:r w:rsidR="00E07B54" w:rsidRPr="00E07B54">
        <w:rPr>
          <w:lang w:val="en-CA"/>
        </w:rPr>
        <w:t xml:space="preserve"> Buildings </w:t>
      </w:r>
      <w:r w:rsidR="00E07B54">
        <w:rPr>
          <w:i/>
          <w:lang w:val="en-CA"/>
        </w:rPr>
        <w:t>c</w:t>
      </w:r>
      <w:r w:rsidR="00E07B54" w:rsidRPr="00E07B54">
        <w:rPr>
          <w:i/>
          <w:lang w:val="en-CA"/>
        </w:rPr>
        <w:t>.</w:t>
      </w:r>
      <w:r w:rsidR="00E07B54" w:rsidRPr="00E07B54">
        <w:rPr>
          <w:lang w:val="en-CA"/>
        </w:rPr>
        <w:t xml:space="preserve"> Stephenson Engineering Ltd.</w:t>
      </w:r>
    </w:p>
    <w:p w:rsidR="00426659" w:rsidRPr="00E07B54" w:rsidRDefault="00F853FB" w:rsidP="00DA24B1">
      <w:pPr>
        <w:pStyle w:val="SCCLsocParty"/>
        <w:tabs>
          <w:tab w:val="right" w:pos="8280"/>
        </w:tabs>
        <w:spacing w:after="720"/>
        <w:rPr>
          <w:b w:val="0"/>
        </w:rPr>
      </w:pPr>
      <w:r w:rsidRPr="00F93E95">
        <w:t>201</w:t>
      </w:r>
      <w:r w:rsidR="00E07B54">
        <w:t>1</w:t>
      </w:r>
      <w:r w:rsidR="00EE0FAF" w:rsidRPr="00F93E95">
        <w:t xml:space="preserve"> </w:t>
      </w:r>
      <w:r w:rsidR="00C71F58" w:rsidRPr="00F93E95">
        <w:t>C</w:t>
      </w:r>
      <w:r w:rsidR="002C7E14" w:rsidRPr="00F93E95">
        <w:t>SC </w:t>
      </w:r>
      <w:r w:rsidR="00015B4E">
        <w:t>33</w:t>
      </w:r>
    </w:p>
    <w:p w:rsidR="008322BD" w:rsidRPr="00DA24B1" w:rsidRDefault="009B57B3" w:rsidP="00DA24B1">
      <w:pPr>
        <w:pStyle w:val="SCCLsocParty"/>
        <w:tabs>
          <w:tab w:val="right" w:pos="8280"/>
        </w:tabs>
        <w:spacing w:after="720"/>
        <w:rPr>
          <w:b w:val="0"/>
        </w:rPr>
      </w:pPr>
      <w:r w:rsidRPr="00DA24B1">
        <w:rPr>
          <w:b w:val="0"/>
        </w:rPr>
        <w:t>N</w:t>
      </w:r>
      <w:r w:rsidRPr="00DA24B1">
        <w:rPr>
          <w:b w:val="0"/>
          <w:vertAlign w:val="superscript"/>
        </w:rPr>
        <w:t>o</w:t>
      </w:r>
      <w:r w:rsidR="0043088E" w:rsidRPr="00DA24B1">
        <w:rPr>
          <w:b w:val="0"/>
        </w:rPr>
        <w:t xml:space="preserve"> du greffe</w:t>
      </w:r>
      <w:r w:rsidR="00C67CA5" w:rsidRPr="00DA24B1">
        <w:rPr>
          <w:b w:val="0"/>
        </w:rPr>
        <w:t> </w:t>
      </w:r>
      <w:r w:rsidRPr="00DA24B1">
        <w:rPr>
          <w:b w:val="0"/>
        </w:rPr>
        <w:t>:</w:t>
      </w:r>
      <w:r w:rsidR="00C67CA5" w:rsidRPr="00DA24B1">
        <w:rPr>
          <w:b w:val="0"/>
        </w:rPr>
        <w:t> </w:t>
      </w:r>
      <w:r w:rsidRPr="00DA24B1">
        <w:rPr>
          <w:b w:val="0"/>
        </w:rPr>
        <w:t>3</w:t>
      </w:r>
      <w:r w:rsidR="00E07B54" w:rsidRPr="00DA24B1">
        <w:rPr>
          <w:b w:val="0"/>
        </w:rPr>
        <w:t>4112</w:t>
      </w:r>
      <w:r w:rsidRPr="00DA24B1">
        <w:rPr>
          <w:b w:val="0"/>
        </w:rPr>
        <w:t>.</w:t>
      </w:r>
    </w:p>
    <w:p w:rsidR="008322BD" w:rsidRPr="00DA24B1" w:rsidRDefault="009F1419" w:rsidP="00DA24B1">
      <w:pPr>
        <w:pStyle w:val="SCCLsocParty"/>
        <w:tabs>
          <w:tab w:val="right" w:pos="8280"/>
        </w:tabs>
        <w:spacing w:after="720"/>
        <w:rPr>
          <w:b w:val="0"/>
        </w:rPr>
      </w:pPr>
      <w:r w:rsidRPr="00DA24B1">
        <w:rPr>
          <w:b w:val="0"/>
        </w:rPr>
        <w:t>201</w:t>
      </w:r>
      <w:r w:rsidR="00E07B54" w:rsidRPr="00DA24B1">
        <w:rPr>
          <w:b w:val="0"/>
        </w:rPr>
        <w:t>1</w:t>
      </w:r>
      <w:r w:rsidR="00771CAB" w:rsidRPr="00DA24B1">
        <w:rPr>
          <w:b w:val="0"/>
        </w:rPr>
        <w:t> :</w:t>
      </w:r>
      <w:r w:rsidR="006F3DC8" w:rsidRPr="00DA24B1">
        <w:rPr>
          <w:b w:val="0"/>
        </w:rPr>
        <w:t> </w:t>
      </w:r>
      <w:r w:rsidR="00E07B54" w:rsidRPr="00DA24B1">
        <w:rPr>
          <w:b w:val="0"/>
        </w:rPr>
        <w:t>23 juin</w:t>
      </w:r>
      <w:r w:rsidR="009B57B3" w:rsidRPr="00DA24B1">
        <w:rPr>
          <w:b w:val="0"/>
        </w:rPr>
        <w:t>.</w:t>
      </w:r>
    </w:p>
    <w:p w:rsidR="008322BD" w:rsidRPr="00DA24B1" w:rsidRDefault="009B57B3" w:rsidP="00DA24B1">
      <w:pPr>
        <w:pStyle w:val="SCCLsocParty"/>
        <w:tabs>
          <w:tab w:val="right" w:pos="8280"/>
        </w:tabs>
        <w:spacing w:after="720"/>
        <w:rPr>
          <w:b w:val="0"/>
        </w:rPr>
      </w:pPr>
      <w:r w:rsidRPr="00DA24B1">
        <w:rPr>
          <w:b w:val="0"/>
        </w:rPr>
        <w:t>Pr</w:t>
      </w:r>
      <w:r w:rsidR="0043088E" w:rsidRPr="00DA24B1">
        <w:rPr>
          <w:b w:val="0"/>
        </w:rPr>
        <w:t>é</w:t>
      </w:r>
      <w:r w:rsidRPr="00DA24B1">
        <w:rPr>
          <w:b w:val="0"/>
        </w:rPr>
        <w:t>sent</w:t>
      </w:r>
      <w:r w:rsidR="008A6558" w:rsidRPr="00DA24B1">
        <w:rPr>
          <w:b w:val="0"/>
        </w:rPr>
        <w:t>s</w:t>
      </w:r>
      <w:r w:rsidR="00C67CA5" w:rsidRPr="00DA24B1">
        <w:rPr>
          <w:b w:val="0"/>
        </w:rPr>
        <w:t> </w:t>
      </w:r>
      <w:r w:rsidRPr="00DA24B1">
        <w:rPr>
          <w:b w:val="0"/>
        </w:rPr>
        <w:t>:</w:t>
      </w:r>
      <w:r w:rsidR="006F3DC8" w:rsidRPr="00DA24B1">
        <w:rPr>
          <w:b w:val="0"/>
        </w:rPr>
        <w:t> </w:t>
      </w:r>
      <w:r w:rsidR="00271E1D" w:rsidRPr="00DA24B1">
        <w:rPr>
          <w:b w:val="0"/>
        </w:rPr>
        <w:t xml:space="preserve">Les juges </w:t>
      </w:r>
      <w:proofErr w:type="spellStart"/>
      <w:r w:rsidRPr="00DA24B1">
        <w:rPr>
          <w:b w:val="0"/>
        </w:rPr>
        <w:t>Binnie</w:t>
      </w:r>
      <w:proofErr w:type="spellEnd"/>
      <w:r w:rsidRPr="00DA24B1">
        <w:rPr>
          <w:b w:val="0"/>
        </w:rPr>
        <w:t>,</w:t>
      </w:r>
      <w:r w:rsidR="00896461" w:rsidRPr="00DA24B1">
        <w:rPr>
          <w:b w:val="0"/>
        </w:rPr>
        <w:t xml:space="preserve"> </w:t>
      </w:r>
      <w:r w:rsidR="00E07B54" w:rsidRPr="00DA24B1">
        <w:rPr>
          <w:b w:val="0"/>
        </w:rPr>
        <w:t>Abella</w:t>
      </w:r>
      <w:r w:rsidR="005A623F" w:rsidRPr="00DA24B1">
        <w:rPr>
          <w:b w:val="0"/>
        </w:rPr>
        <w:t xml:space="preserve"> et </w:t>
      </w:r>
      <w:proofErr w:type="spellStart"/>
      <w:r w:rsidR="00E07B54" w:rsidRPr="00DA24B1">
        <w:rPr>
          <w:b w:val="0"/>
        </w:rPr>
        <w:t>Rothstein</w:t>
      </w:r>
      <w:proofErr w:type="spellEnd"/>
      <w:r w:rsidRPr="00DA24B1">
        <w:rPr>
          <w:b w:val="0"/>
        </w:rPr>
        <w:t>.</w:t>
      </w:r>
    </w:p>
    <w:p w:rsidR="00AC6F91" w:rsidRDefault="00AC6F91" w:rsidP="00AC6F91">
      <w:pPr>
        <w:pStyle w:val="SCCLowerCourtNameLowercase"/>
      </w:pPr>
      <w:r>
        <w:t>requête en production de nouveaux éléments de preuve</w:t>
      </w:r>
    </w:p>
    <w:p w:rsidR="00FC1D41" w:rsidRPr="00F93E95" w:rsidRDefault="00FC1D41" w:rsidP="00FC1D41">
      <w:pPr>
        <w:pStyle w:val="SCCNormalDoubleSpacing"/>
        <w:rPr>
          <w:szCs w:val="24"/>
        </w:rPr>
      </w:pPr>
    </w:p>
    <w:p w:rsidR="00B87CCA" w:rsidRDefault="00B87CCA" w:rsidP="00B87CCA">
      <w:pPr>
        <w:pStyle w:val="SCCNormalDoubleSpacing"/>
        <w:tabs>
          <w:tab w:val="left" w:pos="1170"/>
        </w:tabs>
        <w:spacing w:after="480"/>
      </w:pPr>
      <w:r w:rsidRPr="00583EDE">
        <w:tab/>
      </w:r>
      <w:r>
        <w:rPr>
          <w:i/>
        </w:rPr>
        <w:t>Tribunaux</w:t>
      </w:r>
      <w:r w:rsidRPr="000D19D9">
        <w:rPr>
          <w:i/>
          <w:szCs w:val="24"/>
        </w:rPr>
        <w:t xml:space="preserve"> </w:t>
      </w:r>
      <w:r>
        <w:rPr>
          <w:i/>
          <w:szCs w:val="24"/>
        </w:rPr>
        <w:t>―</w:t>
      </w:r>
      <w:r w:rsidRPr="000D19D9">
        <w:rPr>
          <w:i/>
          <w:szCs w:val="24"/>
        </w:rPr>
        <w:t xml:space="preserve"> </w:t>
      </w:r>
      <w:r>
        <w:rPr>
          <w:i/>
          <w:szCs w:val="24"/>
        </w:rPr>
        <w:t>Cour suprême du Canada</w:t>
      </w:r>
      <w:r w:rsidRPr="000D19D9">
        <w:rPr>
          <w:i/>
          <w:szCs w:val="24"/>
        </w:rPr>
        <w:t xml:space="preserve"> </w:t>
      </w:r>
      <w:r>
        <w:rPr>
          <w:i/>
          <w:szCs w:val="24"/>
        </w:rPr>
        <w:t>―</w:t>
      </w:r>
      <w:r w:rsidRPr="000D19D9">
        <w:rPr>
          <w:i/>
          <w:szCs w:val="24"/>
        </w:rPr>
        <w:t xml:space="preserve"> </w:t>
      </w:r>
      <w:r>
        <w:rPr>
          <w:i/>
          <w:szCs w:val="24"/>
        </w:rPr>
        <w:t xml:space="preserve">Requête en vue de présenter de nouveaux éléments de preuve ― Demanderesse demandant que </w:t>
      </w:r>
      <w:r w:rsidR="00492962">
        <w:rPr>
          <w:i/>
          <w:szCs w:val="24"/>
        </w:rPr>
        <w:t>11</w:t>
      </w:r>
      <w:r>
        <w:rPr>
          <w:i/>
          <w:szCs w:val="24"/>
        </w:rPr>
        <w:t xml:space="preserve"> publications jointes à un affidavit soient ajoutées à sa demande d’autorisation d’appel ―</w:t>
      </w:r>
      <w:r w:rsidRPr="000D19D9">
        <w:rPr>
          <w:i/>
          <w:szCs w:val="24"/>
        </w:rPr>
        <w:t xml:space="preserve"> </w:t>
      </w:r>
      <w:r>
        <w:rPr>
          <w:i/>
          <w:szCs w:val="24"/>
        </w:rPr>
        <w:lastRenderedPageBreak/>
        <w:t>Facteurs guidant l’exercice du pouvoir discrétionnaire de la Cour de recevoir de nouveaux éléments de preuve.</w:t>
      </w:r>
    </w:p>
    <w:p w:rsidR="00146C9B" w:rsidRDefault="00723368" w:rsidP="00DA24B1">
      <w:pPr>
        <w:pStyle w:val="SCCNormalDoubleSpacing"/>
        <w:tabs>
          <w:tab w:val="left" w:pos="1168"/>
        </w:tabs>
        <w:spacing w:after="480"/>
      </w:pPr>
      <w:r>
        <w:tab/>
      </w:r>
      <w:r w:rsidR="00B87CCA" w:rsidRPr="008D6C51">
        <w:t>Règle générale, l’importance d’une question de droit pour le public au sens de l’art.</w:t>
      </w:r>
      <w:r w:rsidR="001152B4">
        <w:t> </w:t>
      </w:r>
      <w:r w:rsidR="00B87CCA" w:rsidRPr="008D6C51">
        <w:t xml:space="preserve">43 de la </w:t>
      </w:r>
      <w:r w:rsidR="00B87CCA" w:rsidRPr="008D6C51">
        <w:rPr>
          <w:i/>
        </w:rPr>
        <w:t>Loi sur la Cour suprême</w:t>
      </w:r>
      <w:r w:rsidR="00B87CCA" w:rsidRPr="008D6C51">
        <w:t>, L.R.C. 1985, ch. S</w:t>
      </w:r>
      <w:r w:rsidR="00B87CCA" w:rsidRPr="008D6C51">
        <w:noBreakHyphen/>
        <w:t>26, n’est pas une question à l’égard de laquelle une preuve par affidavit peut être utile</w:t>
      </w:r>
      <w:r w:rsidR="00B87CCA">
        <w:t xml:space="preserve">.  </w:t>
      </w:r>
      <w:r w:rsidR="00B975D2" w:rsidRPr="008D6C51">
        <w:t xml:space="preserve">Cette </w:t>
      </w:r>
      <w:r w:rsidR="00B975D2">
        <w:t>règl</w:t>
      </w:r>
      <w:r w:rsidR="00B975D2" w:rsidRPr="008D6C51">
        <w:t>e n’est toutefois pas immuable</w:t>
      </w:r>
      <w:r w:rsidR="00B87CCA">
        <w:t xml:space="preserve">.  </w:t>
      </w:r>
      <w:r w:rsidR="00B975D2" w:rsidRPr="008D6C51">
        <w:t xml:space="preserve">Dans certains cas, il se peut que les autres éléments de la demande d’autorisation ne révèlent pas pourquoi, par exemple, la décision visée par la demande d’autorisation d’appel </w:t>
      </w:r>
      <w:r w:rsidR="00B975D2">
        <w:t>crée</w:t>
      </w:r>
      <w:r w:rsidR="00B975D2" w:rsidRPr="008D6C51">
        <w:t xml:space="preserve">rait un précédent </w:t>
      </w:r>
      <w:r w:rsidR="00B975D2">
        <w:t>inapplicable en pratique,</w:t>
      </w:r>
      <w:r w:rsidR="00B975D2" w:rsidRPr="008D6C51">
        <w:t xml:space="preserve"> ou </w:t>
      </w:r>
      <w:r w:rsidR="00B975D2">
        <w:t>risquerait d’avoir des répercussions négatives ou des conséquences jurisprudentielles insoupçonnées</w:t>
      </w:r>
      <w:r w:rsidR="00B87CCA">
        <w:t xml:space="preserve">.  </w:t>
      </w:r>
      <w:r w:rsidR="00B975D2" w:rsidRPr="008D6C51">
        <w:t xml:space="preserve">Toutefois, </w:t>
      </w:r>
      <w:r w:rsidR="00B975D2">
        <w:t>en l’espèce</w:t>
      </w:r>
      <w:r w:rsidR="00B975D2" w:rsidRPr="008D6C51">
        <w:t xml:space="preserve">, les questions en litige sont </w:t>
      </w:r>
      <w:r w:rsidR="00B975D2">
        <w:t>clair</w:t>
      </w:r>
      <w:r w:rsidR="00B975D2" w:rsidRPr="008D6C51">
        <w:t>es</w:t>
      </w:r>
      <w:r w:rsidR="00B975D2">
        <w:t>.</w:t>
      </w:r>
      <w:r w:rsidR="00B87CCA">
        <w:t xml:space="preserve">  </w:t>
      </w:r>
      <w:r w:rsidR="00C21BE3">
        <w:t xml:space="preserve">Les nouveaux documents qui seraient ajoutés à la demande d’autorisation ne révèlent </w:t>
      </w:r>
      <w:r w:rsidR="00C21BE3" w:rsidRPr="008D6C51">
        <w:t>aucun motif</w:t>
      </w:r>
      <w:r w:rsidR="00C21BE3">
        <w:t xml:space="preserve"> de</w:t>
      </w:r>
      <w:r w:rsidR="00C21BE3" w:rsidRPr="008D6C51">
        <w:t xml:space="preserve"> politique générale ou jurispruden</w:t>
      </w:r>
      <w:r w:rsidR="00C21BE3">
        <w:t xml:space="preserve">tiel </w:t>
      </w:r>
      <w:r w:rsidR="00C21BE3" w:rsidRPr="008D6C51">
        <w:t xml:space="preserve">valable, qui ne </w:t>
      </w:r>
      <w:r w:rsidR="00C21BE3">
        <w:t>ressorte pas manifestement des</w:t>
      </w:r>
      <w:r w:rsidR="00C21BE3" w:rsidRPr="008D6C51">
        <w:t xml:space="preserve"> documents déjà déposés</w:t>
      </w:r>
      <w:r w:rsidR="00C21BE3">
        <w:t>,</w:t>
      </w:r>
      <w:r w:rsidR="00C21BE3" w:rsidRPr="008D6C51">
        <w:t xml:space="preserve"> démontr</w:t>
      </w:r>
      <w:r w:rsidR="00C21BE3">
        <w:t>ant</w:t>
      </w:r>
      <w:r w:rsidR="00C21BE3" w:rsidRPr="008D6C51">
        <w:t xml:space="preserve"> que la demande soulève une question de droit d’importance pour le public</w:t>
      </w:r>
      <w:r w:rsidR="00B87CCA">
        <w:t xml:space="preserve">.  </w:t>
      </w:r>
      <w:r w:rsidR="00C21BE3">
        <w:t xml:space="preserve">La formation qui examinera la demande d’autorisation d’appel peut déterminer si celle-ci soulève une question de droit d’importance pour le public à partir du dossier existant.  Les documents que la demanderesse désire déposer ne </w:t>
      </w:r>
      <w:r w:rsidR="001152B4">
        <w:t xml:space="preserve">lui seraient </w:t>
      </w:r>
      <w:r w:rsidR="00A904A7">
        <w:t>d’aucun secours</w:t>
      </w:r>
      <w:r w:rsidR="00C21BE3">
        <w:t xml:space="preserve">.  </w:t>
      </w:r>
      <w:r w:rsidR="001152B4">
        <w:t>La requête en vue de présenter de nouveaux éléments de preuve à l’égard de la demande d’autorisation d’appel est donc rejetée.</w:t>
      </w:r>
    </w:p>
    <w:p w:rsidR="005A623F" w:rsidRPr="00F93E95" w:rsidRDefault="005A623F" w:rsidP="00DA24B1">
      <w:pPr>
        <w:pStyle w:val="SCCNormalDoubleSpacing"/>
        <w:keepNext/>
        <w:tabs>
          <w:tab w:val="left" w:pos="1168"/>
        </w:tabs>
        <w:spacing w:after="720" w:line="240" w:lineRule="auto"/>
        <w:rPr>
          <w:b/>
        </w:rPr>
      </w:pPr>
      <w:r w:rsidRPr="00F93E95">
        <w:rPr>
          <w:b/>
        </w:rPr>
        <w:lastRenderedPageBreak/>
        <w:t>Jurisprudence</w:t>
      </w:r>
    </w:p>
    <w:p w:rsidR="00844CF0" w:rsidRPr="00EA364C" w:rsidRDefault="000220DD" w:rsidP="005A623F">
      <w:pPr>
        <w:pStyle w:val="SCCNormalDoubleSpacing"/>
        <w:rPr>
          <w:szCs w:val="24"/>
        </w:rPr>
      </w:pPr>
      <w:r w:rsidRPr="00EA364C">
        <w:rPr>
          <w:szCs w:val="24"/>
        </w:rPr>
        <w:fldChar w:fldCharType="begin"/>
      </w:r>
      <w:r w:rsidR="005A623F" w:rsidRPr="00EA364C">
        <w:rPr>
          <w:szCs w:val="24"/>
        </w:rPr>
        <w:instrText xml:space="preserve"> SEQ CHAPTER \h \r 1</w:instrText>
      </w:r>
      <w:r w:rsidRPr="00EA364C">
        <w:rPr>
          <w:szCs w:val="24"/>
        </w:rPr>
        <w:fldChar w:fldCharType="end"/>
      </w:r>
      <w:r w:rsidR="005A623F" w:rsidRPr="00EA364C">
        <w:rPr>
          <w:szCs w:val="24"/>
        </w:rPr>
        <w:tab/>
      </w:r>
      <w:r w:rsidR="005A623F" w:rsidRPr="00EA364C">
        <w:rPr>
          <w:b/>
          <w:bCs/>
          <w:szCs w:val="24"/>
        </w:rPr>
        <w:t>Arrêts mentionnés : </w:t>
      </w:r>
      <w:proofErr w:type="spellStart"/>
      <w:r w:rsidR="00E07B54" w:rsidRPr="00EA364C">
        <w:rPr>
          <w:i/>
          <w:szCs w:val="24"/>
        </w:rPr>
        <w:t>Pettey</w:t>
      </w:r>
      <w:proofErr w:type="spellEnd"/>
      <w:r w:rsidR="00E07B54" w:rsidRPr="00EA364C">
        <w:rPr>
          <w:i/>
          <w:szCs w:val="24"/>
        </w:rPr>
        <w:t xml:space="preserve"> c. Avis Car Inc.</w:t>
      </w:r>
      <w:r w:rsidR="00E07B54" w:rsidRPr="00EA364C">
        <w:rPr>
          <w:szCs w:val="24"/>
        </w:rPr>
        <w:t xml:space="preserve"> (1993), 13 O.R. (3d) 725; </w:t>
      </w:r>
      <w:proofErr w:type="spellStart"/>
      <w:r w:rsidR="00E07B54" w:rsidRPr="00EA364C">
        <w:rPr>
          <w:i/>
          <w:szCs w:val="24"/>
        </w:rPr>
        <w:t>Laudon</w:t>
      </w:r>
      <w:proofErr w:type="spellEnd"/>
      <w:r w:rsidR="00E07B54" w:rsidRPr="00EA364C">
        <w:rPr>
          <w:i/>
          <w:szCs w:val="24"/>
        </w:rPr>
        <w:t xml:space="preserve"> c. Roberts</w:t>
      </w:r>
      <w:r w:rsidR="00E07B54" w:rsidRPr="00EA364C">
        <w:rPr>
          <w:szCs w:val="24"/>
        </w:rPr>
        <w:t>, 2009 ONCA 383, 66 C.C.L.T. (3d) 207.</w:t>
      </w:r>
    </w:p>
    <w:p w:rsidR="002077C7" w:rsidRDefault="002077C7" w:rsidP="00DA24B1">
      <w:pPr>
        <w:pStyle w:val="SCCNormalDoubleSpacing"/>
        <w:keepNext/>
        <w:tabs>
          <w:tab w:val="left" w:pos="1168"/>
        </w:tabs>
        <w:spacing w:after="720" w:line="240" w:lineRule="auto"/>
        <w:rPr>
          <w:b/>
        </w:rPr>
      </w:pPr>
    </w:p>
    <w:p w:rsidR="005F4071" w:rsidRPr="00F93E95" w:rsidRDefault="005F4071" w:rsidP="00DA24B1">
      <w:pPr>
        <w:pStyle w:val="SCCNormalDoubleSpacing"/>
        <w:keepNext/>
        <w:tabs>
          <w:tab w:val="left" w:pos="1168"/>
        </w:tabs>
        <w:spacing w:after="720" w:line="240" w:lineRule="auto"/>
        <w:rPr>
          <w:b/>
        </w:rPr>
      </w:pPr>
      <w:r w:rsidRPr="00EA364C">
        <w:rPr>
          <w:b/>
        </w:rPr>
        <w:t>Lois et règlements ci</w:t>
      </w:r>
      <w:bookmarkStart w:id="0" w:name="_GoBack"/>
      <w:bookmarkEnd w:id="0"/>
      <w:r w:rsidRPr="00EA364C">
        <w:rPr>
          <w:b/>
        </w:rPr>
        <w:t>tés</w:t>
      </w:r>
    </w:p>
    <w:p w:rsidR="005F4071" w:rsidRDefault="00E07B54" w:rsidP="00DA24B1">
      <w:pPr>
        <w:pStyle w:val="SCCNormalDoubleSpacing"/>
        <w:tabs>
          <w:tab w:val="left" w:pos="1168"/>
        </w:tabs>
        <w:spacing w:after="240" w:line="240" w:lineRule="auto"/>
        <w:ind w:left="547" w:hanging="547"/>
      </w:pPr>
      <w:r w:rsidRPr="00E07B54">
        <w:rPr>
          <w:i/>
          <w:iCs/>
        </w:rPr>
        <w:t xml:space="preserve">Loi sur la Cour </w:t>
      </w:r>
      <w:r w:rsidRPr="005C7F3E">
        <w:rPr>
          <w:i/>
        </w:rPr>
        <w:t>suprême</w:t>
      </w:r>
      <w:r w:rsidRPr="00E07B54">
        <w:rPr>
          <w:iCs/>
        </w:rPr>
        <w:t xml:space="preserve">, L.R.C. 1985, ch. </w:t>
      </w:r>
      <w:r w:rsidRPr="00DA24B1">
        <w:rPr>
          <w:iCs/>
        </w:rPr>
        <w:t>S</w:t>
      </w:r>
      <w:r w:rsidRPr="00DA24B1">
        <w:rPr>
          <w:rFonts w:ascii="MS Mincho" w:eastAsia="MS Mincho" w:hAnsi="MS Mincho" w:cs="MS Mincho"/>
          <w:iCs/>
        </w:rPr>
        <w:t>-</w:t>
      </w:r>
      <w:r w:rsidRPr="00DA24B1">
        <w:rPr>
          <w:iCs/>
        </w:rPr>
        <w:t>26, art. 43</w:t>
      </w:r>
      <w:r w:rsidR="005F4071" w:rsidRPr="00DA24B1">
        <w:t>.</w:t>
      </w:r>
    </w:p>
    <w:p w:rsidR="00DA24B1" w:rsidRPr="00DA24B1" w:rsidRDefault="00DA24B1" w:rsidP="00DA24B1">
      <w:pPr>
        <w:pStyle w:val="SCCNormalDoubleSpacing"/>
        <w:tabs>
          <w:tab w:val="left" w:pos="1168"/>
        </w:tabs>
        <w:spacing w:after="720" w:line="240" w:lineRule="auto"/>
        <w:ind w:left="547" w:hanging="547"/>
      </w:pPr>
      <w:r>
        <w:rPr>
          <w:i/>
          <w:iCs/>
        </w:rPr>
        <w:t>Règles de la Cour suprême du Canada</w:t>
      </w:r>
      <w:r>
        <w:rPr>
          <w:iCs/>
        </w:rPr>
        <w:t>, D</w:t>
      </w:r>
      <w:r w:rsidRPr="00DA24B1">
        <w:rPr>
          <w:iCs/>
        </w:rPr>
        <w:t>ORS</w:t>
      </w:r>
      <w:r w:rsidR="00350B61">
        <w:rPr>
          <w:iCs/>
        </w:rPr>
        <w:t>/</w:t>
      </w:r>
      <w:r w:rsidRPr="00DA24B1">
        <w:rPr>
          <w:iCs/>
        </w:rPr>
        <w:t>2002-156, art. 25, 47(1)</w:t>
      </w:r>
      <w:r w:rsidRPr="00BB7614">
        <w:rPr>
          <w:i/>
          <w:iCs/>
        </w:rPr>
        <w:t>b</w:t>
      </w:r>
      <w:r w:rsidRPr="00DA24B1">
        <w:rPr>
          <w:iCs/>
        </w:rPr>
        <w:t>), 92.1.</w:t>
      </w:r>
    </w:p>
    <w:p w:rsidR="00F868B0" w:rsidRPr="002077C7" w:rsidRDefault="00F868B0" w:rsidP="00DA24B1">
      <w:pPr>
        <w:pStyle w:val="SCCNormalDoubleSpacing"/>
        <w:keepNext/>
        <w:tabs>
          <w:tab w:val="left" w:pos="1168"/>
        </w:tabs>
        <w:spacing w:after="720" w:line="240" w:lineRule="auto"/>
        <w:rPr>
          <w:b/>
          <w:lang w:val="en-US"/>
        </w:rPr>
      </w:pPr>
      <w:r w:rsidRPr="002077C7">
        <w:rPr>
          <w:b/>
          <w:lang w:val="en-US"/>
        </w:rPr>
        <w:t xml:space="preserve">Doctrine </w:t>
      </w:r>
      <w:proofErr w:type="spellStart"/>
      <w:r w:rsidRPr="002077C7">
        <w:rPr>
          <w:b/>
          <w:lang w:val="en-US"/>
        </w:rPr>
        <w:t>citée</w:t>
      </w:r>
      <w:proofErr w:type="spellEnd"/>
    </w:p>
    <w:p w:rsidR="00DA24B1" w:rsidRDefault="00F868B0" w:rsidP="00DA24B1">
      <w:pPr>
        <w:pStyle w:val="SCCNormalDoubleSpacing"/>
        <w:tabs>
          <w:tab w:val="left" w:pos="1168"/>
        </w:tabs>
        <w:spacing w:after="240" w:line="240" w:lineRule="auto"/>
        <w:ind w:left="547" w:hanging="547"/>
        <w:rPr>
          <w:lang w:val="en-CA"/>
        </w:rPr>
      </w:pPr>
      <w:proofErr w:type="spellStart"/>
      <w:r w:rsidRPr="00015B4E">
        <w:rPr>
          <w:lang w:val="en-CA"/>
        </w:rPr>
        <w:t>Aikins</w:t>
      </w:r>
      <w:proofErr w:type="spellEnd"/>
      <w:r w:rsidRPr="00015B4E">
        <w:rPr>
          <w:lang w:val="en-CA"/>
        </w:rPr>
        <w:t>, John.  « Disclosure of Litigation Agreements</w:t>
      </w:r>
      <w:r w:rsidR="00BB7614">
        <w:rPr>
          <w:lang w:val="en-CA"/>
        </w:rPr>
        <w:t xml:space="preserve"> Must be “Immediate” », Canadian </w:t>
      </w:r>
      <w:r w:rsidRPr="00015B4E">
        <w:rPr>
          <w:lang w:val="en-CA"/>
        </w:rPr>
        <w:t>Bar Association</w:t>
      </w:r>
      <w:r w:rsidR="00BB7614">
        <w:rPr>
          <w:lang w:val="en-CA"/>
        </w:rPr>
        <w:t xml:space="preserve"> (Ontario), </w:t>
      </w:r>
      <w:r w:rsidRPr="00BB7614">
        <w:rPr>
          <w:i/>
          <w:lang w:val="en-CA"/>
        </w:rPr>
        <w:t>Insurance Law Section Newsletter</w:t>
      </w:r>
      <w:r w:rsidRPr="00015B4E">
        <w:rPr>
          <w:lang w:val="en-CA"/>
        </w:rPr>
        <w:t>, vol. 21, No. 2, March 2011 (</w:t>
      </w:r>
      <w:proofErr w:type="gramStart"/>
      <w:r w:rsidRPr="00015B4E">
        <w:rPr>
          <w:lang w:val="en-CA"/>
        </w:rPr>
        <w:t>online</w:t>
      </w:r>
      <w:r w:rsidR="00492962">
        <w:rPr>
          <w:lang w:val="en-CA"/>
        </w:rPr>
        <w:t xml:space="preserve"> </w:t>
      </w:r>
      <w:r w:rsidRPr="00015B4E">
        <w:rPr>
          <w:lang w:val="en-CA"/>
        </w:rPr>
        <w:t>:</w:t>
      </w:r>
      <w:proofErr w:type="gramEnd"/>
      <w:r w:rsidRPr="00015B4E">
        <w:rPr>
          <w:lang w:val="en-CA"/>
        </w:rPr>
        <w:t xml:space="preserve"> http://www.oba.org/En/Insurance/newsletter_en/v21n2.aspx#Article_3).</w:t>
      </w:r>
    </w:p>
    <w:p w:rsidR="00F868B0" w:rsidRPr="00015B4E" w:rsidRDefault="00F868B0" w:rsidP="00DA24B1">
      <w:pPr>
        <w:pStyle w:val="SCCNormalDoubleSpacing"/>
        <w:tabs>
          <w:tab w:val="left" w:pos="1168"/>
        </w:tabs>
        <w:spacing w:after="240" w:line="240" w:lineRule="auto"/>
        <w:ind w:left="547" w:hanging="547"/>
        <w:rPr>
          <w:lang w:val="en-CA"/>
        </w:rPr>
      </w:pPr>
      <w:proofErr w:type="spellStart"/>
      <w:r w:rsidRPr="00015B4E">
        <w:rPr>
          <w:lang w:val="en-CA"/>
        </w:rPr>
        <w:t>Caplan</w:t>
      </w:r>
      <w:proofErr w:type="spellEnd"/>
      <w:r w:rsidRPr="00015B4E">
        <w:rPr>
          <w:lang w:val="en-CA"/>
        </w:rPr>
        <w:t xml:space="preserve">, Jessica.  « Failure to Disclose Mary Carter-type Agreements Can Have Devastating Consequences — The Ontario Court of Appeal takes a Firm Position », </w:t>
      </w:r>
      <w:r w:rsidR="00BB7614">
        <w:rPr>
          <w:lang w:val="en-CA"/>
        </w:rPr>
        <w:t xml:space="preserve">Canadian </w:t>
      </w:r>
      <w:r w:rsidRPr="00015B4E">
        <w:rPr>
          <w:lang w:val="en-CA"/>
        </w:rPr>
        <w:t>Bar Association</w:t>
      </w:r>
      <w:r w:rsidR="00EE0113">
        <w:rPr>
          <w:lang w:val="en-CA"/>
        </w:rPr>
        <w:t xml:space="preserve"> </w:t>
      </w:r>
      <w:r w:rsidR="00BB7614">
        <w:rPr>
          <w:lang w:val="en-CA"/>
        </w:rPr>
        <w:t>(Ontario),</w:t>
      </w:r>
      <w:r w:rsidRPr="00015B4E">
        <w:rPr>
          <w:lang w:val="en-CA"/>
        </w:rPr>
        <w:t xml:space="preserve"> </w:t>
      </w:r>
      <w:r w:rsidRPr="00BB7614">
        <w:rPr>
          <w:i/>
          <w:lang w:val="en-CA"/>
        </w:rPr>
        <w:t>Construction Law Section Newsletter</w:t>
      </w:r>
      <w:r w:rsidRPr="00015B4E">
        <w:rPr>
          <w:lang w:val="en-CA"/>
        </w:rPr>
        <w:t>, vol. 25, No. 3, April 2011 (online</w:t>
      </w:r>
      <w:r w:rsidR="00BB7614">
        <w:rPr>
          <w:lang w:val="en-CA"/>
        </w:rPr>
        <w:t xml:space="preserve"> </w:t>
      </w:r>
      <w:r w:rsidRPr="00015B4E">
        <w:rPr>
          <w:lang w:val="en-CA"/>
        </w:rPr>
        <w:t>: http://www.oba.org/En/Construction/Cons_newsletter/v25n3.aspx#Article_3).</w:t>
      </w:r>
    </w:p>
    <w:p w:rsidR="00F868B0" w:rsidRPr="00F868B0" w:rsidRDefault="00F868B0" w:rsidP="00DA24B1">
      <w:pPr>
        <w:pStyle w:val="SCCNormalDoubleSpacing"/>
        <w:spacing w:after="720" w:line="240" w:lineRule="auto"/>
        <w:ind w:left="547" w:hanging="547"/>
        <w:rPr>
          <w:lang w:val="en-CA"/>
        </w:rPr>
      </w:pPr>
      <w:r w:rsidRPr="00015B4E">
        <w:rPr>
          <w:lang w:val="en-CA"/>
        </w:rPr>
        <w:t xml:space="preserve">Squires, Robin.  </w:t>
      </w:r>
      <w:r w:rsidRPr="00F868B0">
        <w:rPr>
          <w:lang w:val="en-CA"/>
        </w:rPr>
        <w:t>« Partial Settlement Agreements Must Be Immediately Disclosed</w:t>
      </w:r>
      <w:r w:rsidR="00492962">
        <w:rPr>
          <w:lang w:val="en-CA"/>
        </w:rPr>
        <w:t xml:space="preserve"> »</w:t>
      </w:r>
      <w:r w:rsidRPr="00F868B0">
        <w:rPr>
          <w:lang w:val="en-CA"/>
        </w:rPr>
        <w:t xml:space="preserve">, Borden Ladner </w:t>
      </w:r>
      <w:proofErr w:type="spellStart"/>
      <w:r w:rsidRPr="00F868B0">
        <w:rPr>
          <w:lang w:val="en-CA"/>
        </w:rPr>
        <w:t>Gervais</w:t>
      </w:r>
      <w:proofErr w:type="spellEnd"/>
      <w:r w:rsidR="00BB7614">
        <w:rPr>
          <w:lang w:val="en-CA"/>
        </w:rPr>
        <w:t>,</w:t>
      </w:r>
      <w:r w:rsidRPr="00F868B0">
        <w:rPr>
          <w:lang w:val="en-CA"/>
        </w:rPr>
        <w:t xml:space="preserve"> </w:t>
      </w:r>
      <w:r w:rsidRPr="00BB7614">
        <w:rPr>
          <w:i/>
          <w:lang w:val="en-CA"/>
        </w:rPr>
        <w:t>Canadian Insurance Law Newsletter</w:t>
      </w:r>
      <w:r w:rsidRPr="00F868B0">
        <w:rPr>
          <w:lang w:val="en-CA"/>
        </w:rPr>
        <w:t xml:space="preserve">, </w:t>
      </w:r>
      <w:r w:rsidR="00BB7614">
        <w:rPr>
          <w:lang w:val="en-CA"/>
        </w:rPr>
        <w:t>S</w:t>
      </w:r>
      <w:r w:rsidRPr="00F868B0">
        <w:rPr>
          <w:lang w:val="en-CA"/>
        </w:rPr>
        <w:t>pring 2011, (</w:t>
      </w:r>
      <w:proofErr w:type="gramStart"/>
      <w:r w:rsidRPr="00F868B0">
        <w:rPr>
          <w:lang w:val="en-CA"/>
        </w:rPr>
        <w:t>online</w:t>
      </w:r>
      <w:r w:rsidR="00BB7614">
        <w:rPr>
          <w:lang w:val="en-CA"/>
        </w:rPr>
        <w:t xml:space="preserve"> </w:t>
      </w:r>
      <w:r w:rsidRPr="00F868B0">
        <w:rPr>
          <w:lang w:val="en-CA"/>
        </w:rPr>
        <w:t>:</w:t>
      </w:r>
      <w:proofErr w:type="gramEnd"/>
      <w:r w:rsidRPr="00F868B0">
        <w:rPr>
          <w:lang w:val="en-CA"/>
        </w:rPr>
        <w:t xml:space="preserve"> http://www.blg.com/en/home/publications/Documents/publication_1846.pdf).</w:t>
      </w:r>
    </w:p>
    <w:p w:rsidR="00344AAB" w:rsidRPr="00F93E95" w:rsidRDefault="00092F38" w:rsidP="00DA24B1">
      <w:pPr>
        <w:pStyle w:val="SCCNormalDoubleSpacing"/>
        <w:tabs>
          <w:tab w:val="left" w:pos="1170"/>
        </w:tabs>
        <w:spacing w:after="480"/>
      </w:pPr>
      <w:r w:rsidRPr="00F868B0">
        <w:rPr>
          <w:lang w:val="en-CA"/>
        </w:rPr>
        <w:tab/>
      </w:r>
      <w:r w:rsidR="00456AFA" w:rsidRPr="00AC6F91">
        <w:t xml:space="preserve">REQUÊTE </w:t>
      </w:r>
      <w:r w:rsidR="00AC6F91" w:rsidRPr="00AC6F91">
        <w:t xml:space="preserve">en </w:t>
      </w:r>
      <w:r w:rsidR="001152B4" w:rsidRPr="005C7F3E">
        <w:rPr>
          <w:szCs w:val="24"/>
        </w:rPr>
        <w:t>vue</w:t>
      </w:r>
      <w:r w:rsidR="001152B4">
        <w:t xml:space="preserve"> d’ajouter</w:t>
      </w:r>
      <w:r w:rsidR="00AC6F91" w:rsidRPr="00AC6F91">
        <w:t xml:space="preserve"> de nouveaux éléments de preuve</w:t>
      </w:r>
      <w:r w:rsidR="00762C84">
        <w:t xml:space="preserve"> </w:t>
      </w:r>
      <w:r w:rsidR="001152B4">
        <w:t>à la demande d’autorisation d’appel</w:t>
      </w:r>
      <w:r w:rsidR="00AC6F91" w:rsidRPr="00AC6F91">
        <w:t>.  Requête rejetée</w:t>
      </w:r>
      <w:r w:rsidR="00443670" w:rsidRPr="00AC6F91">
        <w:t>.</w:t>
      </w:r>
    </w:p>
    <w:p w:rsidR="00A34E79" w:rsidRPr="00F93E95" w:rsidRDefault="005B6095" w:rsidP="00DA24B1">
      <w:pPr>
        <w:pStyle w:val="SCCNormalDoubleSpacing"/>
        <w:tabs>
          <w:tab w:val="left" w:pos="1170"/>
        </w:tabs>
        <w:spacing w:after="480"/>
      </w:pPr>
      <w:r w:rsidRPr="00F93E95">
        <w:rPr>
          <w:rStyle w:val="SCCCounselNameChar"/>
        </w:rPr>
        <w:lastRenderedPageBreak/>
        <w:tab/>
      </w:r>
      <w:r w:rsidR="00762C84" w:rsidRPr="00DA24B1">
        <w:rPr>
          <w:szCs w:val="24"/>
        </w:rPr>
        <w:t>Argumentation</w:t>
      </w:r>
      <w:r w:rsidR="00762C84" w:rsidRPr="00762C84">
        <w:rPr>
          <w:rStyle w:val="SCCCounselNameChar"/>
          <w:i w:val="0"/>
        </w:rPr>
        <w:t xml:space="preserve"> écrite par</w:t>
      </w:r>
      <w:r w:rsidR="00762C84">
        <w:rPr>
          <w:rStyle w:val="SCCCounselNameChar"/>
        </w:rPr>
        <w:t xml:space="preserve"> </w:t>
      </w:r>
      <w:r w:rsidR="00E07B54" w:rsidRPr="007A07D4">
        <w:rPr>
          <w:rStyle w:val="SCCCounselNameChar"/>
        </w:rPr>
        <w:t>Peter W.</w:t>
      </w:r>
      <w:r w:rsidR="00E07B54" w:rsidRPr="007A07D4">
        <w:t> </w:t>
      </w:r>
      <w:r w:rsidR="00E07B54" w:rsidRPr="007A07D4">
        <w:rPr>
          <w:i/>
        </w:rPr>
        <w:t>G. Carey</w:t>
      </w:r>
      <w:r w:rsidRPr="00F93E95">
        <w:rPr>
          <w:rStyle w:val="SCCCounselPartyRoleChar"/>
        </w:rPr>
        <w:t xml:space="preserve">, pour </w:t>
      </w:r>
      <w:r w:rsidR="00F8456F" w:rsidRPr="00F93E95">
        <w:rPr>
          <w:rStyle w:val="SCCCounselPartyRoleChar"/>
        </w:rPr>
        <w:t>l</w:t>
      </w:r>
      <w:r w:rsidR="00E07B54">
        <w:rPr>
          <w:rStyle w:val="SCCCounselPartyRoleChar"/>
        </w:rPr>
        <w:t>a</w:t>
      </w:r>
      <w:r w:rsidR="00F8456F" w:rsidRPr="00F93E95">
        <w:rPr>
          <w:rStyle w:val="SCCCounselPartyRoleChar"/>
        </w:rPr>
        <w:t xml:space="preserve"> </w:t>
      </w:r>
      <w:r w:rsidR="00EB3E7E" w:rsidRPr="00F93E95">
        <w:t>demande</w:t>
      </w:r>
      <w:r w:rsidR="00E07B54">
        <w:t>resse/r</w:t>
      </w:r>
      <w:r w:rsidR="00E07B54" w:rsidRPr="00E07B54">
        <w:t>equérante à la requête</w:t>
      </w:r>
      <w:r w:rsidRPr="00F93E95">
        <w:rPr>
          <w:rStyle w:val="SCCCounselPartyRoleChar"/>
        </w:rPr>
        <w:t>.</w:t>
      </w:r>
    </w:p>
    <w:p w:rsidR="00CA051A" w:rsidRDefault="005B6095" w:rsidP="00DA24B1">
      <w:pPr>
        <w:pStyle w:val="SCCNormalDoubleSpacing"/>
        <w:tabs>
          <w:tab w:val="left" w:pos="1170"/>
        </w:tabs>
        <w:spacing w:after="480"/>
        <w:rPr>
          <w:rStyle w:val="SCCCounselPartyRoleChar"/>
        </w:rPr>
      </w:pPr>
      <w:r w:rsidRPr="00F93E95">
        <w:rPr>
          <w:rStyle w:val="SCCCounselNameChar"/>
        </w:rPr>
        <w:tab/>
      </w:r>
      <w:r w:rsidR="00762C84" w:rsidRPr="00762C84">
        <w:rPr>
          <w:rStyle w:val="SCCCounselNameChar"/>
          <w:i w:val="0"/>
        </w:rPr>
        <w:t>Argumentation écrite par</w:t>
      </w:r>
      <w:r w:rsidR="00762C84">
        <w:rPr>
          <w:rStyle w:val="SCCCounselNameChar"/>
        </w:rPr>
        <w:t xml:space="preserve"> </w:t>
      </w:r>
      <w:r w:rsidR="00E07B54">
        <w:rPr>
          <w:rStyle w:val="SCCCounselNameChar"/>
        </w:rPr>
        <w:t xml:space="preserve">James A. </w:t>
      </w:r>
      <w:proofErr w:type="spellStart"/>
      <w:r w:rsidR="00E07B54">
        <w:rPr>
          <w:rStyle w:val="SCCCounselNameChar"/>
        </w:rPr>
        <w:t>LeBer</w:t>
      </w:r>
      <w:proofErr w:type="spellEnd"/>
      <w:r w:rsidR="005A1878" w:rsidRPr="00F93E95">
        <w:rPr>
          <w:rStyle w:val="SCCCounselNameChar"/>
          <w:i w:val="0"/>
        </w:rPr>
        <w:t>,</w:t>
      </w:r>
      <w:r w:rsidR="005A1878" w:rsidRPr="00F93E95">
        <w:rPr>
          <w:rStyle w:val="SCCCounselNameChar"/>
        </w:rPr>
        <w:t xml:space="preserve"> </w:t>
      </w:r>
      <w:r w:rsidRPr="00F93E95">
        <w:rPr>
          <w:rStyle w:val="SCCCounselPartyRoleChar"/>
        </w:rPr>
        <w:t xml:space="preserve">pour </w:t>
      </w:r>
      <w:r w:rsidR="00F8456F" w:rsidRPr="00F93E95">
        <w:rPr>
          <w:rStyle w:val="SCCCounselPartyRoleChar"/>
        </w:rPr>
        <w:t>l’</w:t>
      </w:r>
      <w:r w:rsidR="00F8456F" w:rsidRPr="00F93E95">
        <w:t>intimée</w:t>
      </w:r>
      <w:r w:rsidR="00E07B54">
        <w:t>/i</w:t>
      </w:r>
      <w:r w:rsidR="00E07B54" w:rsidRPr="00E07B54">
        <w:t>ntimée à la requête</w:t>
      </w:r>
      <w:r w:rsidRPr="00F93E95">
        <w:rPr>
          <w:rStyle w:val="SCCCounselPartyRoleChar"/>
        </w:rPr>
        <w:t>.</w:t>
      </w:r>
    </w:p>
    <w:p w:rsidR="00BB7614" w:rsidRDefault="00BB7614" w:rsidP="00DA24B1">
      <w:pPr>
        <w:pStyle w:val="SCCNormalDoubleSpacing"/>
        <w:tabs>
          <w:tab w:val="left" w:pos="1170"/>
        </w:tabs>
        <w:spacing w:after="480"/>
        <w:rPr>
          <w:rStyle w:val="SCCCounselPartyRoleChar"/>
        </w:rPr>
      </w:pPr>
      <w:r>
        <w:rPr>
          <w:rStyle w:val="SCCCounselPartyRoleChar"/>
        </w:rPr>
        <w:tab/>
        <w:t>Version française de l’ordonnance rendu</w:t>
      </w:r>
      <w:r w:rsidR="00EE0113">
        <w:rPr>
          <w:rStyle w:val="SCCCounselPartyRoleChar"/>
        </w:rPr>
        <w:t>e</w:t>
      </w:r>
      <w:r>
        <w:rPr>
          <w:rStyle w:val="SCCCounselPartyRoleChar"/>
        </w:rPr>
        <w:t xml:space="preserve"> par</w:t>
      </w:r>
    </w:p>
    <w:p w:rsidR="00CA051A" w:rsidRPr="005C7F3E" w:rsidRDefault="00DA24B1" w:rsidP="00DA24B1">
      <w:pPr>
        <w:pStyle w:val="ParaNoNdepar-AltN"/>
        <w:tabs>
          <w:tab w:val="clear" w:pos="1242"/>
          <w:tab w:val="num" w:pos="1152"/>
        </w:tabs>
        <w:ind w:left="0"/>
        <w:rPr>
          <w:lang w:val="fr-CA"/>
        </w:rPr>
      </w:pPr>
      <w:r w:rsidRPr="00BB7614">
        <w:rPr>
          <w:smallCaps/>
          <w:lang w:val="fr-CA"/>
        </w:rPr>
        <w:t xml:space="preserve">Le juge </w:t>
      </w:r>
      <w:proofErr w:type="spellStart"/>
      <w:r w:rsidRPr="00BB7614">
        <w:rPr>
          <w:smallCaps/>
          <w:lang w:val="fr-CA"/>
        </w:rPr>
        <w:t>Binnie</w:t>
      </w:r>
      <w:proofErr w:type="spellEnd"/>
      <w:r w:rsidR="00BB7614" w:rsidRPr="00BB7614">
        <w:rPr>
          <w:smallCaps/>
          <w:lang w:val="fr-CA"/>
        </w:rPr>
        <w:t xml:space="preserve"> </w:t>
      </w:r>
      <w:r w:rsidR="00BB7614">
        <w:rPr>
          <w:rStyle w:val="SCCCounselPartyRoleChar"/>
        </w:rPr>
        <w:t>—</w:t>
      </w:r>
      <w:r w:rsidRPr="00BB7614">
        <w:rPr>
          <w:lang w:val="fr-CA"/>
        </w:rPr>
        <w:t xml:space="preserve"> </w:t>
      </w:r>
      <w:r w:rsidR="00CA051A" w:rsidRPr="00BB7614">
        <w:rPr>
          <w:lang w:val="fr-CA"/>
        </w:rPr>
        <w:t xml:space="preserve">Une demande a été présentée au nom de la demanderesse </w:t>
      </w:r>
      <w:proofErr w:type="spellStart"/>
      <w:r w:rsidR="00CA051A" w:rsidRPr="00BB7614">
        <w:rPr>
          <w:lang w:val="fr-CA"/>
        </w:rPr>
        <w:t>Aecon</w:t>
      </w:r>
      <w:proofErr w:type="spellEnd"/>
      <w:r w:rsidR="00CA051A" w:rsidRPr="00BB7614">
        <w:rPr>
          <w:lang w:val="fr-CA"/>
        </w:rPr>
        <w:t xml:space="preserve"> Buildings, en vertu </w:t>
      </w:r>
      <w:r w:rsidR="00BB7614">
        <w:rPr>
          <w:lang w:val="fr-CA"/>
        </w:rPr>
        <w:t xml:space="preserve">de l’art. </w:t>
      </w:r>
      <w:r w:rsidR="00CA051A" w:rsidRPr="00BB7614">
        <w:rPr>
          <w:lang w:val="fr-CA"/>
        </w:rPr>
        <w:t>25,</w:t>
      </w:r>
      <w:r w:rsidR="00BB7614">
        <w:rPr>
          <w:lang w:val="fr-CA"/>
        </w:rPr>
        <w:t xml:space="preserve"> de l’al.</w:t>
      </w:r>
      <w:r w:rsidR="00CA051A" w:rsidRPr="00BB7614">
        <w:rPr>
          <w:lang w:val="fr-CA"/>
        </w:rPr>
        <w:t xml:space="preserve"> 47(1)</w:t>
      </w:r>
      <w:r w:rsidR="00CA051A" w:rsidRPr="00BB7614">
        <w:rPr>
          <w:i/>
          <w:lang w:val="fr-CA"/>
        </w:rPr>
        <w:t>b</w:t>
      </w:r>
      <w:r w:rsidR="00CA051A" w:rsidRPr="00BB7614">
        <w:rPr>
          <w:lang w:val="fr-CA"/>
        </w:rPr>
        <w:t>) et</w:t>
      </w:r>
      <w:r w:rsidR="00BB7614">
        <w:rPr>
          <w:lang w:val="fr-CA"/>
        </w:rPr>
        <w:t xml:space="preserve"> l’art.</w:t>
      </w:r>
      <w:r w:rsidR="00CA051A" w:rsidRPr="00BB7614">
        <w:rPr>
          <w:lang w:val="fr-CA"/>
        </w:rPr>
        <w:t xml:space="preserve"> 92.1</w:t>
      </w:r>
      <w:r w:rsidR="00BB7614">
        <w:rPr>
          <w:lang w:val="fr-CA"/>
        </w:rPr>
        <w:t xml:space="preserve"> des </w:t>
      </w:r>
      <w:r w:rsidR="00BB7614" w:rsidRPr="00BB7614">
        <w:rPr>
          <w:i/>
          <w:lang w:val="fr-CA"/>
        </w:rPr>
        <w:t>Règles de la Cour suprême du Canada</w:t>
      </w:r>
      <w:r w:rsidR="00BB7614">
        <w:rPr>
          <w:lang w:val="fr-CA"/>
        </w:rPr>
        <w:t>, DORS/2002-156,</w:t>
      </w:r>
      <w:r w:rsidR="00CA051A" w:rsidRPr="00BB7614">
        <w:rPr>
          <w:lang w:val="fr-CA"/>
        </w:rPr>
        <w:t xml:space="preserve"> en vue d’ajouter à sa demande d’autorisation d’appel </w:t>
      </w:r>
      <w:r w:rsidR="00240918">
        <w:rPr>
          <w:lang w:val="fr-CA"/>
        </w:rPr>
        <w:t>11</w:t>
      </w:r>
      <w:r w:rsidR="00CA051A" w:rsidRPr="00BB7614">
        <w:rPr>
          <w:lang w:val="fr-CA"/>
        </w:rPr>
        <w:t xml:space="preserve"> publications jointes à un affidavit.   </w:t>
      </w:r>
      <w:proofErr w:type="spellStart"/>
      <w:r w:rsidR="00CA051A" w:rsidRPr="005C7F3E">
        <w:rPr>
          <w:lang w:val="fr-CA"/>
        </w:rPr>
        <w:t>Aecon</w:t>
      </w:r>
      <w:proofErr w:type="spellEnd"/>
      <w:r w:rsidR="00CA051A" w:rsidRPr="005C7F3E">
        <w:rPr>
          <w:lang w:val="fr-CA"/>
        </w:rPr>
        <w:t xml:space="preserve"> fait valoir que ces articles démontrent l’importance de la demande pour le public et qu’elle n’y avait pas accès au moment où elle a signifié et déposé sa demande d’autorisation.</w:t>
      </w:r>
    </w:p>
    <w:p w:rsidR="00CA051A" w:rsidRPr="005C7F3E" w:rsidRDefault="00CA051A" w:rsidP="00DA24B1">
      <w:pPr>
        <w:pStyle w:val="ParaNoNdepar-AltN"/>
        <w:tabs>
          <w:tab w:val="clear" w:pos="1242"/>
          <w:tab w:val="num" w:pos="1152"/>
        </w:tabs>
        <w:ind w:left="0"/>
        <w:rPr>
          <w:lang w:val="fr-CA"/>
        </w:rPr>
      </w:pPr>
      <w:r w:rsidRPr="00BB7614">
        <w:rPr>
          <w:lang w:val="fr-CA"/>
        </w:rPr>
        <w:t xml:space="preserve">La demande d’autorisation concerne une « entente de type </w:t>
      </w:r>
      <w:r w:rsidRPr="00BB7614">
        <w:rPr>
          <w:i/>
          <w:lang w:val="fr-CA"/>
        </w:rPr>
        <w:t>Mary Carter</w:t>
      </w:r>
      <w:r w:rsidRPr="00BB7614">
        <w:rPr>
          <w:lang w:val="fr-CA"/>
        </w:rPr>
        <w:t xml:space="preserve"> », soit une entente de règlement dans une instance opposant plusieurs parties, conclue entre un demandeur et un défendeur, et à la suite de laquelle ce défendeur continue à participer ouvertement à l’instance, tandis que la poursuite du demandeur est en réalité dirigée contre les autres parties.  </w:t>
      </w:r>
      <w:r w:rsidRPr="005C7F3E">
        <w:rPr>
          <w:lang w:val="fr-CA"/>
        </w:rPr>
        <w:t xml:space="preserve">En apparence, le défendeur s’oppose à la poursuite, mais cette apparence est trompeuse puisqu’un règlement partiel a été conclu. </w:t>
      </w:r>
    </w:p>
    <w:p w:rsidR="00CA051A" w:rsidRPr="00BB7614" w:rsidRDefault="00CA051A" w:rsidP="00DA24B1">
      <w:pPr>
        <w:pStyle w:val="ParaNoNdepar-AltN"/>
        <w:tabs>
          <w:tab w:val="clear" w:pos="1242"/>
          <w:tab w:val="num" w:pos="1152"/>
        </w:tabs>
        <w:ind w:left="0"/>
        <w:rPr>
          <w:lang w:val="fr-CA"/>
        </w:rPr>
      </w:pPr>
      <w:r w:rsidRPr="00BB7614">
        <w:rPr>
          <w:lang w:val="fr-CA"/>
        </w:rPr>
        <w:lastRenderedPageBreak/>
        <w:t xml:space="preserve">En l’espèce, la Cour d’appel de l’Ontario a statué que la conduite de la demanderesse justifiait un sursis d’instance pour abus de procédure, parce que la demanderesse n’a pas révélé de son propre chef l’existence de l’entente aux autres parties ou au tribunal, </w:t>
      </w:r>
      <w:r w:rsidRPr="00BB7614">
        <w:rPr>
          <w:i/>
          <w:lang w:val="fr-CA"/>
        </w:rPr>
        <w:t>à quelque moment que ce soit</w:t>
      </w:r>
      <w:r w:rsidRPr="00BB7614">
        <w:rPr>
          <w:lang w:val="fr-CA"/>
        </w:rPr>
        <w:t>, mais a plutôt attendu qu’une autre partie la découvre grâce à d’autres sources et en exige la production (2010 ONCA 898, 328 D.L.R. (4th) 488).</w:t>
      </w:r>
    </w:p>
    <w:p w:rsidR="00CA051A" w:rsidRPr="005C7F3E" w:rsidRDefault="00CA051A" w:rsidP="00DA24B1">
      <w:pPr>
        <w:pStyle w:val="ParaNoNdepar-AltN"/>
        <w:tabs>
          <w:tab w:val="clear" w:pos="1242"/>
          <w:tab w:val="num" w:pos="1152"/>
        </w:tabs>
        <w:ind w:left="0"/>
        <w:rPr>
          <w:lang w:val="fr-CA"/>
        </w:rPr>
      </w:pPr>
      <w:r w:rsidRPr="00BB7614">
        <w:rPr>
          <w:lang w:val="fr-CA"/>
        </w:rPr>
        <w:t xml:space="preserve">Règle générale, notre Cour considère que l’importance d’une question de droit pour le public au sens de l’art. 43 de la </w:t>
      </w:r>
      <w:r w:rsidRPr="00BB7614">
        <w:rPr>
          <w:i/>
          <w:lang w:val="fr-CA"/>
        </w:rPr>
        <w:t>Loi sur la Cour suprême</w:t>
      </w:r>
      <w:r w:rsidRPr="00BB7614">
        <w:rPr>
          <w:lang w:val="fr-CA"/>
        </w:rPr>
        <w:t xml:space="preserve">, L.R.C. 1985, ch. </w:t>
      </w:r>
      <w:r w:rsidRPr="005C7F3E">
        <w:rPr>
          <w:lang w:val="fr-CA"/>
        </w:rPr>
        <w:t>S</w:t>
      </w:r>
      <w:r w:rsidRPr="005C7F3E">
        <w:rPr>
          <w:lang w:val="fr-CA"/>
        </w:rPr>
        <w:noBreakHyphen/>
        <w:t xml:space="preserve">26, n’est pas une question à l’égard de laquelle une preuve par affidavit peut être utile.  Cette règle n’est toutefois pas immuable.  Dans certains cas, il se peut que les autres éléments de la demande d’autorisation ne révèlent pas pourquoi, par exemple, la décision visée par la demande d’autorisation d’appel créerait un précédent inapplicable en pratique, ou risquerait d’avoir des répercussions négatives ou des conséquences jurisprudentielles insoupçonnées.  Toutefois, dans le présent dossier, les questions en litige sont claires.  L’entente de type </w:t>
      </w:r>
      <w:r w:rsidRPr="005C7F3E">
        <w:rPr>
          <w:i/>
          <w:lang w:val="fr-CA"/>
        </w:rPr>
        <w:t>Mary Carter</w:t>
      </w:r>
      <w:r w:rsidRPr="005C7F3E">
        <w:rPr>
          <w:lang w:val="fr-CA"/>
        </w:rPr>
        <w:t xml:space="preserve"> doit-elle être communiquée immédiatement et, le cas échéant, quelles seraient les conséquences du défaut de la communiquer?</w:t>
      </w:r>
    </w:p>
    <w:p w:rsidR="00CA051A" w:rsidRPr="005C7F3E" w:rsidRDefault="00CA051A" w:rsidP="00CA051A">
      <w:pPr>
        <w:pStyle w:val="ParaNoNdepar-AltN"/>
        <w:tabs>
          <w:tab w:val="clear" w:pos="1242"/>
          <w:tab w:val="num" w:pos="1152"/>
        </w:tabs>
        <w:ind w:left="0"/>
        <w:rPr>
          <w:lang w:val="fr-CA"/>
        </w:rPr>
      </w:pPr>
      <w:r w:rsidRPr="00BB7614">
        <w:rPr>
          <w:lang w:val="fr-CA"/>
        </w:rPr>
        <w:t xml:space="preserve">Les documents que la demanderesse désire déposer confirment simplement que les questions de droit en litige sont claires.  Le premier, affiché sur le site Web de l’Association du Barreau canadien (Ontario) (« ABCO ») (J. </w:t>
      </w:r>
      <w:proofErr w:type="spellStart"/>
      <w:r w:rsidRPr="00BB7614">
        <w:rPr>
          <w:lang w:val="fr-CA"/>
        </w:rPr>
        <w:t>Aikins</w:t>
      </w:r>
      <w:proofErr w:type="spellEnd"/>
      <w:r w:rsidRPr="00BB7614">
        <w:rPr>
          <w:lang w:val="fr-CA"/>
        </w:rPr>
        <w:t>, « </w:t>
      </w:r>
      <w:proofErr w:type="spellStart"/>
      <w:r w:rsidRPr="00BB7614">
        <w:rPr>
          <w:lang w:val="fr-CA"/>
        </w:rPr>
        <w:t>Disclosure</w:t>
      </w:r>
      <w:proofErr w:type="spellEnd"/>
      <w:r w:rsidRPr="00BB7614">
        <w:rPr>
          <w:lang w:val="fr-CA"/>
        </w:rPr>
        <w:t xml:space="preserve"> of </w:t>
      </w:r>
      <w:proofErr w:type="spellStart"/>
      <w:r w:rsidRPr="00BB7614">
        <w:rPr>
          <w:lang w:val="fr-CA"/>
        </w:rPr>
        <w:t>Litigation</w:t>
      </w:r>
      <w:proofErr w:type="spellEnd"/>
      <w:r w:rsidRPr="00BB7614">
        <w:rPr>
          <w:lang w:val="fr-CA"/>
        </w:rPr>
        <w:t xml:space="preserve"> </w:t>
      </w:r>
      <w:proofErr w:type="spellStart"/>
      <w:r w:rsidR="008970E0">
        <w:rPr>
          <w:lang w:val="fr-CA"/>
        </w:rPr>
        <w:t>Agreements</w:t>
      </w:r>
      <w:proofErr w:type="spellEnd"/>
      <w:r w:rsidR="008970E0">
        <w:rPr>
          <w:lang w:val="fr-CA"/>
        </w:rPr>
        <w:t xml:space="preserve"> Must </w:t>
      </w:r>
      <w:proofErr w:type="spellStart"/>
      <w:r w:rsidR="008970E0">
        <w:rPr>
          <w:lang w:val="fr-CA"/>
        </w:rPr>
        <w:t>be</w:t>
      </w:r>
      <w:proofErr w:type="spellEnd"/>
      <w:r w:rsidR="008970E0">
        <w:rPr>
          <w:lang w:val="fr-CA"/>
        </w:rPr>
        <w:t xml:space="preserve"> </w:t>
      </w:r>
      <w:r w:rsidR="008970E0">
        <w:rPr>
          <w:rFonts w:cs="Times New Roman"/>
          <w:lang w:val="fr-CA"/>
        </w:rPr>
        <w:t>“</w:t>
      </w:r>
      <w:proofErr w:type="spellStart"/>
      <w:r w:rsidR="008970E0">
        <w:rPr>
          <w:lang w:val="fr-CA"/>
        </w:rPr>
        <w:t>Immediate</w:t>
      </w:r>
      <w:proofErr w:type="spellEnd"/>
      <w:r w:rsidR="008970E0">
        <w:rPr>
          <w:rFonts w:cs="Times New Roman"/>
          <w:lang w:val="fr-CA"/>
        </w:rPr>
        <w:t>”</w:t>
      </w:r>
      <w:r w:rsidRPr="00BB7614">
        <w:rPr>
          <w:lang w:val="fr-CA"/>
        </w:rPr>
        <w:t xml:space="preserve"> », </w:t>
      </w:r>
      <w:proofErr w:type="spellStart"/>
      <w:r w:rsidRPr="00BB7614">
        <w:rPr>
          <w:i/>
          <w:lang w:val="fr-CA"/>
        </w:rPr>
        <w:t>Insurance</w:t>
      </w:r>
      <w:proofErr w:type="spellEnd"/>
      <w:r w:rsidRPr="00BB7614">
        <w:rPr>
          <w:i/>
          <w:lang w:val="fr-CA"/>
        </w:rPr>
        <w:t xml:space="preserve"> Law </w:t>
      </w:r>
      <w:r w:rsidRPr="00BB7614">
        <w:rPr>
          <w:i/>
          <w:lang w:val="fr-CA"/>
        </w:rPr>
        <w:lastRenderedPageBreak/>
        <w:t>Section Newsletter</w:t>
      </w:r>
      <w:r w:rsidRPr="00BB7614">
        <w:rPr>
          <w:lang w:val="fr-CA"/>
        </w:rPr>
        <w:t>, vol. 21, n</w:t>
      </w:r>
      <w:r w:rsidRPr="00BB7614">
        <w:rPr>
          <w:vertAlign w:val="superscript"/>
          <w:lang w:val="fr-CA"/>
        </w:rPr>
        <w:t>o</w:t>
      </w:r>
      <w:r w:rsidR="00AD5ED3">
        <w:rPr>
          <w:lang w:val="fr-CA"/>
        </w:rPr>
        <w:t xml:space="preserve"> 2, m</w:t>
      </w:r>
      <w:r w:rsidRPr="00BB7614">
        <w:rPr>
          <w:lang w:val="fr-CA"/>
        </w:rPr>
        <w:t xml:space="preserve">ars 2011 (en ligne)), mentionne que la décision que la demanderesse veut porter en appel énonce à nouveau la règle, bien établie en Ontario, selon laquelle les ententes de type </w:t>
      </w:r>
      <w:r w:rsidRPr="00BB7614">
        <w:rPr>
          <w:i/>
          <w:lang w:val="fr-CA"/>
        </w:rPr>
        <w:t>Mary Carter</w:t>
      </w:r>
      <w:r w:rsidRPr="00BB7614">
        <w:rPr>
          <w:lang w:val="fr-CA"/>
        </w:rPr>
        <w:t xml:space="preserve"> doivent être [</w:t>
      </w:r>
      <w:r w:rsidR="00EE0113" w:rsidRPr="00EE0113">
        <w:rPr>
          <w:smallCaps/>
          <w:lang w:val="fr-CA"/>
        </w:rPr>
        <w:t>traduction</w:t>
      </w:r>
      <w:r w:rsidRPr="00BB7614">
        <w:rPr>
          <w:lang w:val="fr-CA"/>
        </w:rPr>
        <w:t>] « communiquées</w:t>
      </w:r>
      <w:r w:rsidR="00721283">
        <w:rPr>
          <w:lang w:val="fr-CA"/>
        </w:rPr>
        <w:t xml:space="preserve"> [. . .]</w:t>
      </w:r>
      <w:r w:rsidRPr="00BB7614">
        <w:rPr>
          <w:lang w:val="fr-CA"/>
        </w:rPr>
        <w:t xml:space="preserve"> aux parties et au tribunal dès que l’entente est conclue » :  </w:t>
      </w:r>
      <w:proofErr w:type="spellStart"/>
      <w:r w:rsidRPr="00BB7614">
        <w:rPr>
          <w:i/>
          <w:lang w:val="fr-CA"/>
        </w:rPr>
        <w:t>Pettey</w:t>
      </w:r>
      <w:proofErr w:type="spellEnd"/>
      <w:r w:rsidRPr="00BB7614">
        <w:rPr>
          <w:i/>
          <w:lang w:val="fr-CA"/>
        </w:rPr>
        <w:t xml:space="preserve"> c. Avis Car Inc.</w:t>
      </w:r>
      <w:r w:rsidRPr="00BB7614">
        <w:rPr>
          <w:lang w:val="fr-CA"/>
        </w:rPr>
        <w:t xml:space="preserve"> </w:t>
      </w:r>
      <w:r w:rsidRPr="00EE0113">
        <w:rPr>
          <w:lang w:val="fr-CA"/>
        </w:rPr>
        <w:t xml:space="preserve">(1993), 13 O.R. </w:t>
      </w:r>
      <w:r w:rsidR="00BB7614" w:rsidRPr="00EE0113">
        <w:rPr>
          <w:lang w:val="fr-CA"/>
        </w:rPr>
        <w:t>(</w:t>
      </w:r>
      <w:r w:rsidRPr="00EE0113">
        <w:rPr>
          <w:lang w:val="fr-CA"/>
        </w:rPr>
        <w:t>3d</w:t>
      </w:r>
      <w:r w:rsidR="00BB7614" w:rsidRPr="00EE0113">
        <w:rPr>
          <w:lang w:val="fr-CA"/>
        </w:rPr>
        <w:t>)</w:t>
      </w:r>
      <w:r w:rsidRPr="00EE0113">
        <w:rPr>
          <w:lang w:val="fr-CA"/>
        </w:rPr>
        <w:t xml:space="preserve"> 725 (Div. </w:t>
      </w:r>
      <w:proofErr w:type="spellStart"/>
      <w:r w:rsidRPr="00EE0113">
        <w:rPr>
          <w:lang w:val="fr-CA"/>
        </w:rPr>
        <w:t>gén</w:t>
      </w:r>
      <w:proofErr w:type="spellEnd"/>
      <w:r w:rsidRPr="00EE0113">
        <w:rPr>
          <w:lang w:val="fr-CA"/>
        </w:rPr>
        <w:t xml:space="preserve">.), p. 737.  Cette règle a été réitérée récemment par la Cour d’appel de l’Ontario dans l’arrêt </w:t>
      </w:r>
      <w:proofErr w:type="spellStart"/>
      <w:r w:rsidRPr="00EE0113">
        <w:rPr>
          <w:i/>
          <w:lang w:val="fr-CA"/>
        </w:rPr>
        <w:t>Laudon</w:t>
      </w:r>
      <w:proofErr w:type="spellEnd"/>
      <w:r w:rsidRPr="00EE0113">
        <w:rPr>
          <w:i/>
          <w:lang w:val="fr-CA"/>
        </w:rPr>
        <w:t xml:space="preserve"> c. Roberts</w:t>
      </w:r>
      <w:r w:rsidRPr="00EE0113">
        <w:rPr>
          <w:lang w:val="fr-CA"/>
        </w:rPr>
        <w:t>, 2009 ONCA 383, 66 C.C.L.T. (3d) 207, où elle a affirmé que [</w:t>
      </w:r>
      <w:r w:rsidR="00EE0113" w:rsidRPr="00EE0113">
        <w:rPr>
          <w:smallCaps/>
          <w:lang w:val="fr-CA"/>
        </w:rPr>
        <w:t>traduction</w:t>
      </w:r>
      <w:r w:rsidRPr="00EE0113">
        <w:rPr>
          <w:lang w:val="fr-CA"/>
        </w:rPr>
        <w:t xml:space="preserve">] « l’existence d’une telle entente doit être révélée au tribunal et aux autres parties à l’instance dès sa conclusion » (par. 39).  </w:t>
      </w:r>
      <w:r w:rsidRPr="005C7F3E">
        <w:rPr>
          <w:lang w:val="fr-CA"/>
        </w:rPr>
        <w:t>Le document affiché sur le site Web de l’ABCO ne révèle aucune discordance dans la jurisprudence, ni aucun motif de politique générale ou jurisprudentiel valable, qui ne ressorte pas manifestement des documents déjà déposés, démontrant que la demande soulève une question de droit d’importance pour le public.  L’auteur s’interroge simplement sur le sens des mots</w:t>
      </w:r>
      <w:r w:rsidR="005C7F3E">
        <w:rPr>
          <w:lang w:val="fr-CA"/>
        </w:rPr>
        <w:t xml:space="preserve"> </w:t>
      </w:r>
      <w:r w:rsidR="005C7F3E" w:rsidRPr="00BB7614">
        <w:rPr>
          <w:lang w:val="fr-CA"/>
        </w:rPr>
        <w:t>[</w:t>
      </w:r>
      <w:r w:rsidR="005C7F3E" w:rsidRPr="00BB7614">
        <w:rPr>
          <w:smallCaps/>
          <w:lang w:val="fr-CA"/>
        </w:rPr>
        <w:t>traduction</w:t>
      </w:r>
      <w:r w:rsidR="005C7F3E">
        <w:rPr>
          <w:lang w:val="fr-CA"/>
        </w:rPr>
        <w:t>]</w:t>
      </w:r>
      <w:r w:rsidRPr="005C7F3E">
        <w:rPr>
          <w:lang w:val="fr-CA"/>
        </w:rPr>
        <w:t xml:space="preserve"> « communication immédiate » et sur la façon dont les ententes de type </w:t>
      </w:r>
      <w:r w:rsidRPr="005C7F3E">
        <w:rPr>
          <w:i/>
          <w:lang w:val="fr-CA"/>
        </w:rPr>
        <w:t>Mary Carter</w:t>
      </w:r>
      <w:r w:rsidRPr="005C7F3E">
        <w:rPr>
          <w:lang w:val="fr-CA"/>
        </w:rPr>
        <w:t xml:space="preserve"> doivent être « communiquées</w:t>
      </w:r>
      <w:r w:rsidR="009106BF">
        <w:rPr>
          <w:lang w:val="fr-CA"/>
        </w:rPr>
        <w:t xml:space="preserve"> [. . .</w:t>
      </w:r>
      <w:r w:rsidR="00AD5ED3">
        <w:rPr>
          <w:lang w:val="fr-CA"/>
        </w:rPr>
        <w:t>]</w:t>
      </w:r>
      <w:r w:rsidRPr="005C7F3E">
        <w:rPr>
          <w:lang w:val="fr-CA"/>
        </w:rPr>
        <w:t xml:space="preserve"> au tribunal ».  </w:t>
      </w:r>
      <w:r w:rsidRPr="00BB7614">
        <w:rPr>
          <w:lang w:val="fr-CA"/>
        </w:rPr>
        <w:t>J’estime que la notion de</w:t>
      </w:r>
      <w:r w:rsidR="00BB7614" w:rsidRPr="00BB7614">
        <w:rPr>
          <w:lang w:val="fr-CA"/>
        </w:rPr>
        <w:t xml:space="preserve"> </w:t>
      </w:r>
      <w:r w:rsidRPr="00BB7614">
        <w:rPr>
          <w:lang w:val="fr-CA"/>
        </w:rPr>
        <w:t xml:space="preserve">« communication immédiate » ne demande pas d’explication.  </w:t>
      </w:r>
      <w:r w:rsidRPr="005C7F3E">
        <w:rPr>
          <w:lang w:val="fr-CA"/>
        </w:rPr>
        <w:t xml:space="preserve">Son application dans un cas donné dépendra des faits qui lui sont propres.  Comme cela a été mentionné, dans le présent dossier, la demanderesse n’a jamais révélé l’existence de l’entente aux parties ou au tribunal </w:t>
      </w:r>
      <w:r w:rsidRPr="005C7F3E">
        <w:rPr>
          <w:i/>
          <w:lang w:val="fr-CA"/>
        </w:rPr>
        <w:t>de son propre chef</w:t>
      </w:r>
      <w:r w:rsidRPr="005C7F3E">
        <w:rPr>
          <w:lang w:val="fr-CA"/>
        </w:rPr>
        <w:t>.  La Cour d’appel a décidé qu’un sursis d’instance était justifié dans les circonstances.  La question procédurale de savoir comment une partie doit procéder pour communiquer une telle entente au tribunal (si elle décidait de la communiquer) ne soulève pas de question de droit d’importance pour le public qui devrait être tranchée par la Cour.</w:t>
      </w:r>
    </w:p>
    <w:p w:rsidR="00CA051A" w:rsidRPr="005C7F3E" w:rsidRDefault="00CA051A" w:rsidP="00BB7614">
      <w:pPr>
        <w:pStyle w:val="ParaNoNdepar-AltN"/>
        <w:tabs>
          <w:tab w:val="clear" w:pos="1242"/>
          <w:tab w:val="num" w:pos="1152"/>
        </w:tabs>
        <w:ind w:left="0"/>
        <w:rPr>
          <w:lang w:val="fr-CA"/>
        </w:rPr>
      </w:pPr>
      <w:r w:rsidRPr="00BB7614">
        <w:rPr>
          <w:lang w:val="fr-CA"/>
        </w:rPr>
        <w:lastRenderedPageBreak/>
        <w:t xml:space="preserve">Dans un autre document affiché sur le site Web de l’ABCO, un auteur différent affirme : </w:t>
      </w:r>
      <w:r w:rsidR="00BB7614" w:rsidRPr="00BB7614">
        <w:rPr>
          <w:lang w:val="fr-CA"/>
        </w:rPr>
        <w:t>[</w:t>
      </w:r>
      <w:r w:rsidR="00BB7614" w:rsidRPr="00BB7614">
        <w:rPr>
          <w:smallCaps/>
          <w:lang w:val="fr-CA"/>
        </w:rPr>
        <w:t>traduction</w:t>
      </w:r>
      <w:r w:rsidR="00BB7614">
        <w:rPr>
          <w:lang w:val="fr-CA"/>
        </w:rPr>
        <w:t xml:space="preserve">] </w:t>
      </w:r>
      <w:r w:rsidRPr="00BB7614">
        <w:rPr>
          <w:lang w:val="fr-CA"/>
        </w:rPr>
        <w:t xml:space="preserve">« La décision dans l’affaire </w:t>
      </w:r>
      <w:proofErr w:type="spellStart"/>
      <w:r w:rsidRPr="00BB7614">
        <w:rPr>
          <w:i/>
          <w:lang w:val="fr-CA"/>
        </w:rPr>
        <w:t>Aecon</w:t>
      </w:r>
      <w:proofErr w:type="spellEnd"/>
      <w:r w:rsidRPr="00BB7614">
        <w:rPr>
          <w:lang w:val="fr-CA"/>
        </w:rPr>
        <w:t xml:space="preserve"> sert simplement à rappeler que la communication immédiate est nécessaire sur le plan de l’équité procédurale, afin que le tribunal puisse gérer correctement le processus judiciaire » (J. Caplan, « </w:t>
      </w:r>
      <w:proofErr w:type="spellStart"/>
      <w:r w:rsidRPr="00BB7614">
        <w:rPr>
          <w:lang w:val="fr-CA"/>
        </w:rPr>
        <w:t>Failure</w:t>
      </w:r>
      <w:proofErr w:type="spellEnd"/>
      <w:r w:rsidRPr="00BB7614">
        <w:rPr>
          <w:lang w:val="fr-CA"/>
        </w:rPr>
        <w:t xml:space="preserve"> to </w:t>
      </w:r>
      <w:proofErr w:type="spellStart"/>
      <w:r w:rsidRPr="00BB7614">
        <w:rPr>
          <w:lang w:val="fr-CA"/>
        </w:rPr>
        <w:t>Disclose</w:t>
      </w:r>
      <w:proofErr w:type="spellEnd"/>
      <w:r w:rsidRPr="00BB7614">
        <w:rPr>
          <w:lang w:val="fr-CA"/>
        </w:rPr>
        <w:t xml:space="preserve"> Mary Carter-type </w:t>
      </w:r>
      <w:proofErr w:type="spellStart"/>
      <w:r w:rsidRPr="00BB7614">
        <w:rPr>
          <w:lang w:val="fr-CA"/>
        </w:rPr>
        <w:t>Agreements</w:t>
      </w:r>
      <w:proofErr w:type="spellEnd"/>
      <w:r w:rsidRPr="00BB7614">
        <w:rPr>
          <w:lang w:val="fr-CA"/>
        </w:rPr>
        <w:t xml:space="preserve"> Can Have </w:t>
      </w:r>
      <w:proofErr w:type="spellStart"/>
      <w:r w:rsidRPr="00BB7614">
        <w:rPr>
          <w:lang w:val="fr-CA"/>
        </w:rPr>
        <w:t>Devastating</w:t>
      </w:r>
      <w:proofErr w:type="spellEnd"/>
      <w:r w:rsidRPr="00BB7614">
        <w:rPr>
          <w:lang w:val="fr-CA"/>
        </w:rPr>
        <w:t xml:space="preserve"> </w:t>
      </w:r>
      <w:proofErr w:type="spellStart"/>
      <w:r w:rsidRPr="00BB7614">
        <w:rPr>
          <w:lang w:val="fr-CA"/>
        </w:rPr>
        <w:t>Consequences</w:t>
      </w:r>
      <w:proofErr w:type="spellEnd"/>
      <w:r w:rsidRPr="00BB7614">
        <w:rPr>
          <w:lang w:val="fr-CA"/>
        </w:rPr>
        <w:t xml:space="preserve"> — The Ontario Court of </w:t>
      </w:r>
      <w:proofErr w:type="spellStart"/>
      <w:r w:rsidRPr="00BB7614">
        <w:rPr>
          <w:lang w:val="fr-CA"/>
        </w:rPr>
        <w:t>Appeal</w:t>
      </w:r>
      <w:proofErr w:type="spellEnd"/>
      <w:r w:rsidRPr="00BB7614">
        <w:rPr>
          <w:lang w:val="fr-CA"/>
        </w:rPr>
        <w:t xml:space="preserve"> </w:t>
      </w:r>
      <w:proofErr w:type="spellStart"/>
      <w:r w:rsidRPr="00BB7614">
        <w:rPr>
          <w:lang w:val="fr-CA"/>
        </w:rPr>
        <w:t>takes</w:t>
      </w:r>
      <w:proofErr w:type="spellEnd"/>
      <w:r w:rsidRPr="00BB7614">
        <w:rPr>
          <w:lang w:val="fr-CA"/>
        </w:rPr>
        <w:t xml:space="preserve"> a </w:t>
      </w:r>
      <w:proofErr w:type="spellStart"/>
      <w:r w:rsidRPr="00BB7614">
        <w:rPr>
          <w:lang w:val="fr-CA"/>
        </w:rPr>
        <w:t>Firm</w:t>
      </w:r>
      <w:proofErr w:type="spellEnd"/>
      <w:r w:rsidRPr="00BB7614">
        <w:rPr>
          <w:lang w:val="fr-CA"/>
        </w:rPr>
        <w:t xml:space="preserve"> Position », </w:t>
      </w:r>
      <w:r w:rsidRPr="00BB7614">
        <w:rPr>
          <w:i/>
          <w:lang w:val="fr-CA"/>
        </w:rPr>
        <w:t>Construction Law Section Newsletter</w:t>
      </w:r>
      <w:r w:rsidRPr="00BB7614">
        <w:rPr>
          <w:lang w:val="fr-CA"/>
        </w:rPr>
        <w:t>, vol. 25, n</w:t>
      </w:r>
      <w:r w:rsidRPr="00BB7614">
        <w:rPr>
          <w:vertAlign w:val="superscript"/>
          <w:lang w:val="fr-CA"/>
        </w:rPr>
        <w:t>o</w:t>
      </w:r>
      <w:r w:rsidRPr="00BB7614">
        <w:rPr>
          <w:lang w:val="fr-CA"/>
        </w:rPr>
        <w:t xml:space="preserve"> 3, </w:t>
      </w:r>
      <w:r w:rsidR="009106BF">
        <w:rPr>
          <w:lang w:val="fr-CA"/>
        </w:rPr>
        <w:t>a</w:t>
      </w:r>
      <w:r w:rsidRPr="00BB7614">
        <w:rPr>
          <w:lang w:val="fr-CA"/>
        </w:rPr>
        <w:t xml:space="preserve">vril 2011 (en ligne)).  </w:t>
      </w:r>
      <w:r w:rsidRPr="005C7F3E">
        <w:rPr>
          <w:lang w:val="fr-CA"/>
        </w:rPr>
        <w:t>Ce document n’est, lui non plus, d’aucune utilité quant à la décision que nous devons rendre en vertu de l’art. 43.</w:t>
      </w:r>
    </w:p>
    <w:p w:rsidR="00CA051A" w:rsidRPr="005C7F3E" w:rsidRDefault="00CA051A" w:rsidP="00BB7614">
      <w:pPr>
        <w:pStyle w:val="ParaNoNdepar-AltN"/>
        <w:tabs>
          <w:tab w:val="clear" w:pos="1242"/>
          <w:tab w:val="num" w:pos="1152"/>
        </w:tabs>
        <w:ind w:left="0"/>
        <w:rPr>
          <w:lang w:val="fr-CA"/>
        </w:rPr>
      </w:pPr>
      <w:r w:rsidRPr="00BB7614">
        <w:rPr>
          <w:lang w:val="fr-CA"/>
        </w:rPr>
        <w:t xml:space="preserve">Les autres articles sont des comptes rendus ordinaires similaires de la décision de la Cour d’appel.  </w:t>
      </w:r>
      <w:r w:rsidRPr="005C7F3E">
        <w:rPr>
          <w:lang w:val="fr-CA"/>
        </w:rPr>
        <w:t xml:space="preserve">Ils tombent en général dans la catégorie des « Avis à la communauté juridique ».  </w:t>
      </w:r>
      <w:r w:rsidRPr="00BB7614">
        <w:rPr>
          <w:lang w:val="fr-CA"/>
        </w:rPr>
        <w:t>L’auteur ajoute parfois un commentaire en guise de conclusion, par exemple : [</w:t>
      </w:r>
      <w:r w:rsidRPr="00BB7614">
        <w:rPr>
          <w:smallCaps/>
          <w:lang w:val="fr-CA"/>
        </w:rPr>
        <w:t xml:space="preserve">traduction] </w:t>
      </w:r>
      <w:r w:rsidRPr="00BB7614">
        <w:rPr>
          <w:lang w:val="fr-CA"/>
        </w:rPr>
        <w:t xml:space="preserve">« Quiconque envisage une entente de règlement partiel de quelque type que ce soit devrait examiner attentivement cette décision et prendre soin de prévoir et d’effectuer la communication immédiate de l’entente dès sa conclusion » (R. Squires, « Partial </w:t>
      </w:r>
      <w:proofErr w:type="spellStart"/>
      <w:r w:rsidRPr="00BB7614">
        <w:rPr>
          <w:lang w:val="fr-CA"/>
        </w:rPr>
        <w:t>Settlement</w:t>
      </w:r>
      <w:proofErr w:type="spellEnd"/>
      <w:r w:rsidRPr="00BB7614">
        <w:rPr>
          <w:lang w:val="fr-CA"/>
        </w:rPr>
        <w:t xml:space="preserve"> </w:t>
      </w:r>
      <w:proofErr w:type="spellStart"/>
      <w:r w:rsidRPr="00BB7614">
        <w:rPr>
          <w:lang w:val="fr-CA"/>
        </w:rPr>
        <w:t>Agreements</w:t>
      </w:r>
      <w:proofErr w:type="spellEnd"/>
      <w:r w:rsidRPr="00BB7614">
        <w:rPr>
          <w:lang w:val="fr-CA"/>
        </w:rPr>
        <w:t xml:space="preserve"> Must Be </w:t>
      </w:r>
      <w:proofErr w:type="spellStart"/>
      <w:r w:rsidRPr="00BB7614">
        <w:rPr>
          <w:lang w:val="fr-CA"/>
        </w:rPr>
        <w:t>Immediately</w:t>
      </w:r>
      <w:proofErr w:type="spellEnd"/>
      <w:r w:rsidRPr="00BB7614">
        <w:rPr>
          <w:lang w:val="fr-CA"/>
        </w:rPr>
        <w:t xml:space="preserve"> </w:t>
      </w:r>
      <w:proofErr w:type="spellStart"/>
      <w:r w:rsidRPr="00BB7614">
        <w:rPr>
          <w:lang w:val="fr-CA"/>
        </w:rPr>
        <w:t>Disclosed</w:t>
      </w:r>
      <w:proofErr w:type="spellEnd"/>
      <w:r w:rsidRPr="00BB7614">
        <w:rPr>
          <w:lang w:val="fr-CA"/>
        </w:rPr>
        <w:t xml:space="preserve"> », </w:t>
      </w:r>
      <w:r w:rsidRPr="009106BF">
        <w:rPr>
          <w:lang w:val="fr-CA"/>
        </w:rPr>
        <w:t xml:space="preserve">Borden </w:t>
      </w:r>
      <w:proofErr w:type="spellStart"/>
      <w:r w:rsidRPr="009106BF">
        <w:rPr>
          <w:lang w:val="fr-CA"/>
        </w:rPr>
        <w:t>Ladner</w:t>
      </w:r>
      <w:proofErr w:type="spellEnd"/>
      <w:r w:rsidRPr="009106BF">
        <w:rPr>
          <w:lang w:val="fr-CA"/>
        </w:rPr>
        <w:t xml:space="preserve"> Gervais</w:t>
      </w:r>
      <w:r w:rsidR="00277575">
        <w:rPr>
          <w:lang w:val="fr-CA"/>
        </w:rPr>
        <w:t>,</w:t>
      </w:r>
      <w:r w:rsidRPr="00BB7614">
        <w:rPr>
          <w:i/>
          <w:lang w:val="fr-CA"/>
        </w:rPr>
        <w:t xml:space="preserve"> Canadian </w:t>
      </w:r>
      <w:proofErr w:type="spellStart"/>
      <w:r w:rsidRPr="00BB7614">
        <w:rPr>
          <w:i/>
          <w:lang w:val="fr-CA"/>
        </w:rPr>
        <w:t>Insurance</w:t>
      </w:r>
      <w:proofErr w:type="spellEnd"/>
      <w:r w:rsidRPr="00BB7614">
        <w:rPr>
          <w:i/>
          <w:lang w:val="fr-CA"/>
        </w:rPr>
        <w:t xml:space="preserve"> Law Newsletter</w:t>
      </w:r>
      <w:r w:rsidRPr="00BB7614">
        <w:rPr>
          <w:lang w:val="fr-CA"/>
        </w:rPr>
        <w:t xml:space="preserve">, printemps 2011 (en ligne)).  </w:t>
      </w:r>
      <w:r w:rsidRPr="005C7F3E">
        <w:rPr>
          <w:lang w:val="fr-CA"/>
        </w:rPr>
        <w:t>Personne ne met en doute la concordance de la règle énoncée par la Cour d’appel avec sa jurisprudence antérieure, ni ne prétend qu’il n’était pas possible, en droit, d’accorder une réparation pour abus de procédure.</w:t>
      </w:r>
    </w:p>
    <w:p w:rsidR="00CA051A" w:rsidRPr="005C7F3E" w:rsidRDefault="00CA051A" w:rsidP="00DA24B1">
      <w:pPr>
        <w:pStyle w:val="ParaNoNdepar-AltN"/>
        <w:tabs>
          <w:tab w:val="clear" w:pos="1242"/>
          <w:tab w:val="num" w:pos="1152"/>
        </w:tabs>
        <w:ind w:left="0"/>
        <w:rPr>
          <w:lang w:val="fr-CA"/>
        </w:rPr>
      </w:pPr>
      <w:r w:rsidRPr="00BB7614">
        <w:rPr>
          <w:lang w:val="fr-CA"/>
        </w:rPr>
        <w:lastRenderedPageBreak/>
        <w:t xml:space="preserve">C’est à la formation de la Cour qui examinera la demande d’autorisation qu’il reviendra de trancher la question de savoir si la règle elle-même soulève une question de droit d’importance pour le public.  </w:t>
      </w:r>
      <w:r w:rsidRPr="005C7F3E">
        <w:rPr>
          <w:lang w:val="fr-CA"/>
        </w:rPr>
        <w:t>Les documents que la demanderesse désire déposer ne sont d’aucun secours à cet égard.</w:t>
      </w:r>
    </w:p>
    <w:p w:rsidR="00CA051A" w:rsidRPr="00BB7614" w:rsidRDefault="00CA051A" w:rsidP="00DA24B1">
      <w:pPr>
        <w:pStyle w:val="ParaNoNdepar-AltN"/>
        <w:tabs>
          <w:tab w:val="clear" w:pos="1242"/>
          <w:tab w:val="num" w:pos="1152"/>
        </w:tabs>
        <w:ind w:left="0"/>
        <w:rPr>
          <w:lang w:val="fr-CA"/>
        </w:rPr>
      </w:pPr>
      <w:r w:rsidRPr="00BB7614">
        <w:rPr>
          <w:lang w:val="fr-CA"/>
        </w:rPr>
        <w:t>L’avocat de la défenderesse a avisé la Cour qu’il ne prend pas position concernant la requête en présentation de nouveaux éléments de preuve, sans doute parce que cette preuve n’est ni utile ni préjudiciable.</w:t>
      </w:r>
    </w:p>
    <w:p w:rsidR="00CA051A" w:rsidRPr="00BB7614" w:rsidRDefault="00CA051A" w:rsidP="00DA24B1">
      <w:pPr>
        <w:pStyle w:val="ParaNoNdepar-AltN"/>
        <w:tabs>
          <w:tab w:val="clear" w:pos="1242"/>
          <w:tab w:val="num" w:pos="1152"/>
        </w:tabs>
        <w:ind w:left="0"/>
        <w:rPr>
          <w:lang w:val="fr-CA"/>
        </w:rPr>
      </w:pPr>
      <w:r w:rsidRPr="00BB7614">
        <w:rPr>
          <w:lang w:val="fr-CA"/>
        </w:rPr>
        <w:t>Je suis d’avis de rejeter la requête en vue de présenter de nouveaux éléments de preuve relativement à la demande d’autorisation d’appel, sans dépens.</w:t>
      </w:r>
    </w:p>
    <w:p w:rsidR="0033393C" w:rsidRPr="00F93E95" w:rsidRDefault="0033393C" w:rsidP="00BB7614">
      <w:pPr>
        <w:pStyle w:val="SCCNormalDoubleSpacing"/>
        <w:tabs>
          <w:tab w:val="left" w:pos="1170"/>
        </w:tabs>
        <w:spacing w:after="480"/>
        <w:rPr>
          <w:i/>
        </w:rPr>
      </w:pPr>
      <w:r w:rsidRPr="00F93E95">
        <w:tab/>
      </w:r>
      <w:r w:rsidR="00456AFA" w:rsidRPr="00456AFA">
        <w:rPr>
          <w:i/>
        </w:rPr>
        <w:t xml:space="preserve">Requête </w:t>
      </w:r>
      <w:r w:rsidR="00AC6F91" w:rsidRPr="00AC6F91">
        <w:rPr>
          <w:i/>
        </w:rPr>
        <w:t>rejetée</w:t>
      </w:r>
      <w:r w:rsidR="00443670" w:rsidRPr="00AC6F91">
        <w:rPr>
          <w:i/>
        </w:rPr>
        <w:t>.</w:t>
      </w:r>
    </w:p>
    <w:p w:rsidR="005A1878" w:rsidRPr="00BB7614" w:rsidRDefault="00F8456F" w:rsidP="00BB7614">
      <w:pPr>
        <w:pStyle w:val="SCCNormalDoubleSpacing"/>
        <w:tabs>
          <w:tab w:val="left" w:pos="1170"/>
        </w:tabs>
        <w:spacing w:after="480"/>
        <w:rPr>
          <w:i/>
        </w:rPr>
      </w:pPr>
      <w:r w:rsidRPr="00BB7614">
        <w:rPr>
          <w:i/>
        </w:rPr>
        <w:tab/>
        <w:t>Procureurs d</w:t>
      </w:r>
      <w:r w:rsidR="00E07B54" w:rsidRPr="00BB7614">
        <w:rPr>
          <w:i/>
        </w:rPr>
        <w:t>e la</w:t>
      </w:r>
      <w:r w:rsidR="005A1878" w:rsidRPr="00BB7614">
        <w:rPr>
          <w:i/>
        </w:rPr>
        <w:t xml:space="preserve"> </w:t>
      </w:r>
      <w:r w:rsidR="00E07B54" w:rsidRPr="00BB7614">
        <w:rPr>
          <w:i/>
        </w:rPr>
        <w:t>demanderesse/requérante à la requête </w:t>
      </w:r>
      <w:r w:rsidR="005A1878" w:rsidRPr="00BB7614">
        <w:rPr>
          <w:i/>
        </w:rPr>
        <w:t>: </w:t>
      </w:r>
      <w:proofErr w:type="spellStart"/>
      <w:r w:rsidR="00E07B54" w:rsidRPr="00BB7614">
        <w:rPr>
          <w:i/>
        </w:rPr>
        <w:t>Fogler</w:t>
      </w:r>
      <w:proofErr w:type="spellEnd"/>
      <w:r w:rsidR="00E07B54" w:rsidRPr="00BB7614">
        <w:rPr>
          <w:i/>
        </w:rPr>
        <w:t xml:space="preserve">, </w:t>
      </w:r>
      <w:proofErr w:type="spellStart"/>
      <w:r w:rsidR="00E07B54" w:rsidRPr="00BB7614">
        <w:rPr>
          <w:i/>
        </w:rPr>
        <w:t>Rubinoff</w:t>
      </w:r>
      <w:proofErr w:type="spellEnd"/>
      <w:r w:rsidR="00E07B54" w:rsidRPr="00BB7614">
        <w:rPr>
          <w:i/>
        </w:rPr>
        <w:t>, Toronto</w:t>
      </w:r>
      <w:r w:rsidR="005A1878" w:rsidRPr="00BB7614">
        <w:rPr>
          <w:i/>
        </w:rPr>
        <w:t>.</w:t>
      </w:r>
    </w:p>
    <w:p w:rsidR="005A1878" w:rsidRPr="00BB7614" w:rsidRDefault="005A1878" w:rsidP="00BB7614">
      <w:pPr>
        <w:pStyle w:val="SCCNormalDoubleSpacing"/>
        <w:tabs>
          <w:tab w:val="left" w:pos="1170"/>
        </w:tabs>
        <w:spacing w:after="480"/>
        <w:rPr>
          <w:i/>
        </w:rPr>
      </w:pPr>
      <w:r w:rsidRPr="00BB7614">
        <w:rPr>
          <w:i/>
        </w:rPr>
        <w:tab/>
        <w:t>Procureur</w:t>
      </w:r>
      <w:r w:rsidR="00456AFA" w:rsidRPr="00BB7614">
        <w:rPr>
          <w:i/>
        </w:rPr>
        <w:t>s</w:t>
      </w:r>
      <w:r w:rsidRPr="00BB7614">
        <w:rPr>
          <w:i/>
        </w:rPr>
        <w:t xml:space="preserve"> de </w:t>
      </w:r>
      <w:r w:rsidR="00E07B54" w:rsidRPr="005C7F3E">
        <w:rPr>
          <w:i/>
        </w:rPr>
        <w:t>l’intimée</w:t>
      </w:r>
      <w:r w:rsidR="00E07B54" w:rsidRPr="00BB7614">
        <w:rPr>
          <w:rStyle w:val="SCCCounselPartyRoleChar"/>
          <w:i/>
        </w:rPr>
        <w:t>/intimée à la requête</w:t>
      </w:r>
      <w:r w:rsidR="00F8456F" w:rsidRPr="00BB7614">
        <w:rPr>
          <w:i/>
        </w:rPr>
        <w:t> :</w:t>
      </w:r>
      <w:r w:rsidRPr="00BB7614">
        <w:rPr>
          <w:i/>
        </w:rPr>
        <w:t> </w:t>
      </w:r>
      <w:proofErr w:type="spellStart"/>
      <w:r w:rsidR="00E07B54" w:rsidRPr="00BB7614">
        <w:rPr>
          <w:i/>
        </w:rPr>
        <w:t>Advocates</w:t>
      </w:r>
      <w:proofErr w:type="spellEnd"/>
      <w:r w:rsidR="00E07B54" w:rsidRPr="00BB7614">
        <w:rPr>
          <w:i/>
        </w:rPr>
        <w:t>, London</w:t>
      </w:r>
      <w:r w:rsidRPr="00BB7614">
        <w:rPr>
          <w:i/>
        </w:rPr>
        <w:t>.</w:t>
      </w:r>
    </w:p>
    <w:p w:rsidR="0033393C" w:rsidRPr="00F93E95" w:rsidRDefault="0033393C" w:rsidP="00D74F2E">
      <w:pPr>
        <w:pStyle w:val="SCCNormalDoubleSpacing"/>
      </w:pPr>
    </w:p>
    <w:sectPr w:rsidR="0033393C" w:rsidRPr="00F93E95" w:rsidSect="00BB7614">
      <w:headerReference w:type="even" r:id="rId11"/>
      <w:headerReference w:type="default" r:id="rId12"/>
      <w:footerReference w:type="even" r:id="rId13"/>
      <w:footerReference w:type="defaul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92" w:rsidRDefault="00CD5492">
      <w:r>
        <w:separator/>
      </w:r>
    </w:p>
  </w:endnote>
  <w:endnote w:type="continuationSeparator" w:id="0">
    <w:p w:rsidR="00CD5492" w:rsidRDefault="00C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3" w:rsidRDefault="00EE0113">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3" w:rsidRDefault="00EE011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92" w:rsidRDefault="00CD5492">
      <w:r>
        <w:separator/>
      </w:r>
    </w:p>
  </w:footnote>
  <w:footnote w:type="continuationSeparator" w:id="0">
    <w:p w:rsidR="00CD5492" w:rsidRDefault="00CD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3" w:rsidRDefault="00EE0113">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735"/>
      <w:docPartObj>
        <w:docPartGallery w:val="Page Numbers (Top of Page)"/>
        <w:docPartUnique/>
      </w:docPartObj>
    </w:sdtPr>
    <w:sdtEndPr/>
    <w:sdtContent>
      <w:p w:rsidR="00EE0113" w:rsidRDefault="00EE0113">
        <w:pPr>
          <w:pStyle w:val="En-tte"/>
          <w:jc w:val="center"/>
        </w:pPr>
        <w:r>
          <w:t xml:space="preserve">- </w:t>
        </w:r>
        <w:r w:rsidR="007C54ED">
          <w:fldChar w:fldCharType="begin"/>
        </w:r>
        <w:r w:rsidR="007C54ED">
          <w:instrText xml:space="preserve"> PAGE   \* MERGEFORMAT </w:instrText>
        </w:r>
        <w:r w:rsidR="007C54ED">
          <w:fldChar w:fldCharType="separate"/>
        </w:r>
        <w:r w:rsidR="002077C7">
          <w:rPr>
            <w:noProof/>
          </w:rPr>
          <w:t>4</w:t>
        </w:r>
        <w:r w:rsidR="007C54ED">
          <w:rPr>
            <w:noProof/>
          </w:rPr>
          <w:fldChar w:fldCharType="end"/>
        </w:r>
        <w:r>
          <w:t xml:space="preserve"> -</w:t>
        </w:r>
      </w:p>
    </w:sdtContent>
  </w:sdt>
  <w:p w:rsidR="00EE0113" w:rsidRDefault="00EE01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3EE8"/>
    <w:multiLevelType w:val="multilevel"/>
    <w:tmpl w:val="69183738"/>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221F"/>
    <w:rsid w:val="00015B4E"/>
    <w:rsid w:val="000220DD"/>
    <w:rsid w:val="00022D22"/>
    <w:rsid w:val="00025198"/>
    <w:rsid w:val="00055518"/>
    <w:rsid w:val="00055A36"/>
    <w:rsid w:val="000578A3"/>
    <w:rsid w:val="00064563"/>
    <w:rsid w:val="000648CC"/>
    <w:rsid w:val="00092F38"/>
    <w:rsid w:val="00094DE0"/>
    <w:rsid w:val="000A5321"/>
    <w:rsid w:val="000A7B84"/>
    <w:rsid w:val="000C59B8"/>
    <w:rsid w:val="0010517C"/>
    <w:rsid w:val="00111DE2"/>
    <w:rsid w:val="001152B4"/>
    <w:rsid w:val="00116B38"/>
    <w:rsid w:val="00117584"/>
    <w:rsid w:val="00126862"/>
    <w:rsid w:val="0013109F"/>
    <w:rsid w:val="00135406"/>
    <w:rsid w:val="00135972"/>
    <w:rsid w:val="001362E1"/>
    <w:rsid w:val="00140667"/>
    <w:rsid w:val="001426A9"/>
    <w:rsid w:val="00146C9B"/>
    <w:rsid w:val="00154D7C"/>
    <w:rsid w:val="00154E54"/>
    <w:rsid w:val="001570B0"/>
    <w:rsid w:val="001702CF"/>
    <w:rsid w:val="00172A04"/>
    <w:rsid w:val="00175A97"/>
    <w:rsid w:val="00184624"/>
    <w:rsid w:val="00185394"/>
    <w:rsid w:val="001A451D"/>
    <w:rsid w:val="001A6921"/>
    <w:rsid w:val="001B33E0"/>
    <w:rsid w:val="001B4573"/>
    <w:rsid w:val="001C27AD"/>
    <w:rsid w:val="001C779F"/>
    <w:rsid w:val="001D2AC1"/>
    <w:rsid w:val="001F7673"/>
    <w:rsid w:val="002077C7"/>
    <w:rsid w:val="00220FC2"/>
    <w:rsid w:val="00224FC0"/>
    <w:rsid w:val="00225EA4"/>
    <w:rsid w:val="00226EAF"/>
    <w:rsid w:val="00231F3A"/>
    <w:rsid w:val="00232FC1"/>
    <w:rsid w:val="002406EE"/>
    <w:rsid w:val="00240918"/>
    <w:rsid w:val="00253210"/>
    <w:rsid w:val="002536E9"/>
    <w:rsid w:val="00263892"/>
    <w:rsid w:val="00271E1D"/>
    <w:rsid w:val="002745CC"/>
    <w:rsid w:val="00277575"/>
    <w:rsid w:val="002C7E14"/>
    <w:rsid w:val="002D39A4"/>
    <w:rsid w:val="002E4C86"/>
    <w:rsid w:val="002E6705"/>
    <w:rsid w:val="002F696C"/>
    <w:rsid w:val="0030329A"/>
    <w:rsid w:val="00307AFD"/>
    <w:rsid w:val="0031086F"/>
    <w:rsid w:val="00310E05"/>
    <w:rsid w:val="0031414C"/>
    <w:rsid w:val="00314E01"/>
    <w:rsid w:val="0032089D"/>
    <w:rsid w:val="00324552"/>
    <w:rsid w:val="003273A1"/>
    <w:rsid w:val="0033393C"/>
    <w:rsid w:val="00344AAB"/>
    <w:rsid w:val="00345548"/>
    <w:rsid w:val="0034770C"/>
    <w:rsid w:val="00350B61"/>
    <w:rsid w:val="0035259D"/>
    <w:rsid w:val="003738A9"/>
    <w:rsid w:val="003866EC"/>
    <w:rsid w:val="00394476"/>
    <w:rsid w:val="003A00D1"/>
    <w:rsid w:val="003A4C70"/>
    <w:rsid w:val="003A4E15"/>
    <w:rsid w:val="003C799C"/>
    <w:rsid w:val="003E1C71"/>
    <w:rsid w:val="003F327B"/>
    <w:rsid w:val="004059A7"/>
    <w:rsid w:val="00406166"/>
    <w:rsid w:val="00411300"/>
    <w:rsid w:val="00426659"/>
    <w:rsid w:val="0043088E"/>
    <w:rsid w:val="00430EDD"/>
    <w:rsid w:val="00432874"/>
    <w:rsid w:val="00443670"/>
    <w:rsid w:val="004439D8"/>
    <w:rsid w:val="00456AFA"/>
    <w:rsid w:val="00465132"/>
    <w:rsid w:val="004725CF"/>
    <w:rsid w:val="00480C90"/>
    <w:rsid w:val="0048396F"/>
    <w:rsid w:val="00490942"/>
    <w:rsid w:val="00492962"/>
    <w:rsid w:val="00493C18"/>
    <w:rsid w:val="00494CDC"/>
    <w:rsid w:val="004A600C"/>
    <w:rsid w:val="004C478D"/>
    <w:rsid w:val="004D348D"/>
    <w:rsid w:val="004E6A2C"/>
    <w:rsid w:val="00521AE8"/>
    <w:rsid w:val="00527180"/>
    <w:rsid w:val="00536719"/>
    <w:rsid w:val="005564A7"/>
    <w:rsid w:val="005842B1"/>
    <w:rsid w:val="005A1878"/>
    <w:rsid w:val="005A623F"/>
    <w:rsid w:val="005B6095"/>
    <w:rsid w:val="005C7F3E"/>
    <w:rsid w:val="005E4698"/>
    <w:rsid w:val="005F4071"/>
    <w:rsid w:val="00614FAC"/>
    <w:rsid w:val="00625C35"/>
    <w:rsid w:val="00634E1B"/>
    <w:rsid w:val="00645057"/>
    <w:rsid w:val="00654858"/>
    <w:rsid w:val="006565F4"/>
    <w:rsid w:val="00681AD1"/>
    <w:rsid w:val="006A51F0"/>
    <w:rsid w:val="006A56F1"/>
    <w:rsid w:val="006B5FF5"/>
    <w:rsid w:val="006C5661"/>
    <w:rsid w:val="006D4790"/>
    <w:rsid w:val="006F3DC8"/>
    <w:rsid w:val="00701759"/>
    <w:rsid w:val="00702C6F"/>
    <w:rsid w:val="00721283"/>
    <w:rsid w:val="00723368"/>
    <w:rsid w:val="007250A8"/>
    <w:rsid w:val="00736422"/>
    <w:rsid w:val="00741BF0"/>
    <w:rsid w:val="00746ABA"/>
    <w:rsid w:val="00747288"/>
    <w:rsid w:val="00747DD3"/>
    <w:rsid w:val="00752F4E"/>
    <w:rsid w:val="007549C8"/>
    <w:rsid w:val="00762C84"/>
    <w:rsid w:val="00762D30"/>
    <w:rsid w:val="00763377"/>
    <w:rsid w:val="00766D14"/>
    <w:rsid w:val="00767A0F"/>
    <w:rsid w:val="00771CAB"/>
    <w:rsid w:val="007834A8"/>
    <w:rsid w:val="00792C81"/>
    <w:rsid w:val="007A05F6"/>
    <w:rsid w:val="007A7D6A"/>
    <w:rsid w:val="007B6F4A"/>
    <w:rsid w:val="007C54ED"/>
    <w:rsid w:val="007E1C47"/>
    <w:rsid w:val="007E337A"/>
    <w:rsid w:val="007E5C70"/>
    <w:rsid w:val="007F2FF5"/>
    <w:rsid w:val="00817190"/>
    <w:rsid w:val="0082117C"/>
    <w:rsid w:val="00825C90"/>
    <w:rsid w:val="008322BD"/>
    <w:rsid w:val="00844CF0"/>
    <w:rsid w:val="00855307"/>
    <w:rsid w:val="008562CC"/>
    <w:rsid w:val="00862CF3"/>
    <w:rsid w:val="00864CF8"/>
    <w:rsid w:val="00874914"/>
    <w:rsid w:val="00892E1A"/>
    <w:rsid w:val="008958F5"/>
    <w:rsid w:val="00896461"/>
    <w:rsid w:val="008970E0"/>
    <w:rsid w:val="008A3D84"/>
    <w:rsid w:val="008A6558"/>
    <w:rsid w:val="008A727C"/>
    <w:rsid w:val="008C01DA"/>
    <w:rsid w:val="008C6884"/>
    <w:rsid w:val="008D29D9"/>
    <w:rsid w:val="008F16D9"/>
    <w:rsid w:val="008F2885"/>
    <w:rsid w:val="008F78E9"/>
    <w:rsid w:val="00902462"/>
    <w:rsid w:val="009106BF"/>
    <w:rsid w:val="00930197"/>
    <w:rsid w:val="009403F3"/>
    <w:rsid w:val="00957FA2"/>
    <w:rsid w:val="00966913"/>
    <w:rsid w:val="00967374"/>
    <w:rsid w:val="0097543E"/>
    <w:rsid w:val="00975585"/>
    <w:rsid w:val="00983F3F"/>
    <w:rsid w:val="009856FE"/>
    <w:rsid w:val="00985C69"/>
    <w:rsid w:val="0099079B"/>
    <w:rsid w:val="009B1F16"/>
    <w:rsid w:val="009B2F23"/>
    <w:rsid w:val="009B53E2"/>
    <w:rsid w:val="009B57B3"/>
    <w:rsid w:val="009D5AEB"/>
    <w:rsid w:val="009E0ED4"/>
    <w:rsid w:val="009F1419"/>
    <w:rsid w:val="009F2D11"/>
    <w:rsid w:val="009F383F"/>
    <w:rsid w:val="00A05F0E"/>
    <w:rsid w:val="00A21107"/>
    <w:rsid w:val="00A21B90"/>
    <w:rsid w:val="00A222A3"/>
    <w:rsid w:val="00A24E15"/>
    <w:rsid w:val="00A2737F"/>
    <w:rsid w:val="00A34E79"/>
    <w:rsid w:val="00A431DC"/>
    <w:rsid w:val="00A548CB"/>
    <w:rsid w:val="00A6242E"/>
    <w:rsid w:val="00A643E7"/>
    <w:rsid w:val="00A73C38"/>
    <w:rsid w:val="00A82FB4"/>
    <w:rsid w:val="00A904A7"/>
    <w:rsid w:val="00A96366"/>
    <w:rsid w:val="00AC6F91"/>
    <w:rsid w:val="00AC7437"/>
    <w:rsid w:val="00AC7A44"/>
    <w:rsid w:val="00AD5ED3"/>
    <w:rsid w:val="00AF03C5"/>
    <w:rsid w:val="00B000D8"/>
    <w:rsid w:val="00B00F75"/>
    <w:rsid w:val="00B145B6"/>
    <w:rsid w:val="00B41A65"/>
    <w:rsid w:val="00B464AC"/>
    <w:rsid w:val="00B50C81"/>
    <w:rsid w:val="00B557F8"/>
    <w:rsid w:val="00B64972"/>
    <w:rsid w:val="00B66DD8"/>
    <w:rsid w:val="00B8145D"/>
    <w:rsid w:val="00B815FC"/>
    <w:rsid w:val="00B87CCA"/>
    <w:rsid w:val="00B931F2"/>
    <w:rsid w:val="00B93FBC"/>
    <w:rsid w:val="00B975D2"/>
    <w:rsid w:val="00BA575C"/>
    <w:rsid w:val="00BA7052"/>
    <w:rsid w:val="00BB7614"/>
    <w:rsid w:val="00BC5B69"/>
    <w:rsid w:val="00BD34FA"/>
    <w:rsid w:val="00C02092"/>
    <w:rsid w:val="00C057F7"/>
    <w:rsid w:val="00C068DF"/>
    <w:rsid w:val="00C21BE3"/>
    <w:rsid w:val="00C24C8C"/>
    <w:rsid w:val="00C24D91"/>
    <w:rsid w:val="00C52532"/>
    <w:rsid w:val="00C53F14"/>
    <w:rsid w:val="00C55C2E"/>
    <w:rsid w:val="00C600CF"/>
    <w:rsid w:val="00C6084F"/>
    <w:rsid w:val="00C62A66"/>
    <w:rsid w:val="00C62A6F"/>
    <w:rsid w:val="00C668E7"/>
    <w:rsid w:val="00C67CA5"/>
    <w:rsid w:val="00C71458"/>
    <w:rsid w:val="00C71F58"/>
    <w:rsid w:val="00C737AB"/>
    <w:rsid w:val="00C77613"/>
    <w:rsid w:val="00C828E7"/>
    <w:rsid w:val="00C921DD"/>
    <w:rsid w:val="00CA051A"/>
    <w:rsid w:val="00CA4D82"/>
    <w:rsid w:val="00CA6391"/>
    <w:rsid w:val="00CA774F"/>
    <w:rsid w:val="00CD38C8"/>
    <w:rsid w:val="00CD5492"/>
    <w:rsid w:val="00CE3171"/>
    <w:rsid w:val="00CF1601"/>
    <w:rsid w:val="00D20DD5"/>
    <w:rsid w:val="00D30835"/>
    <w:rsid w:val="00D32086"/>
    <w:rsid w:val="00D37A3F"/>
    <w:rsid w:val="00D45FCF"/>
    <w:rsid w:val="00D4667A"/>
    <w:rsid w:val="00D510BB"/>
    <w:rsid w:val="00D5435D"/>
    <w:rsid w:val="00D74F2E"/>
    <w:rsid w:val="00D86E38"/>
    <w:rsid w:val="00D93905"/>
    <w:rsid w:val="00DA0590"/>
    <w:rsid w:val="00DA24B1"/>
    <w:rsid w:val="00DB6B11"/>
    <w:rsid w:val="00DC1788"/>
    <w:rsid w:val="00DC511D"/>
    <w:rsid w:val="00DE5C32"/>
    <w:rsid w:val="00DF0CA8"/>
    <w:rsid w:val="00DF49A7"/>
    <w:rsid w:val="00E01047"/>
    <w:rsid w:val="00E01106"/>
    <w:rsid w:val="00E04CC7"/>
    <w:rsid w:val="00E07B54"/>
    <w:rsid w:val="00E07EE2"/>
    <w:rsid w:val="00E24573"/>
    <w:rsid w:val="00E33B9B"/>
    <w:rsid w:val="00E377A1"/>
    <w:rsid w:val="00E45109"/>
    <w:rsid w:val="00E54B02"/>
    <w:rsid w:val="00E81D80"/>
    <w:rsid w:val="00E8545B"/>
    <w:rsid w:val="00E97830"/>
    <w:rsid w:val="00EA03E5"/>
    <w:rsid w:val="00EA313F"/>
    <w:rsid w:val="00EA364C"/>
    <w:rsid w:val="00EA6EEB"/>
    <w:rsid w:val="00EB0559"/>
    <w:rsid w:val="00EB3E7E"/>
    <w:rsid w:val="00EC5E87"/>
    <w:rsid w:val="00ED2040"/>
    <w:rsid w:val="00EE0113"/>
    <w:rsid w:val="00EE0FAF"/>
    <w:rsid w:val="00EE1DE7"/>
    <w:rsid w:val="00EE6AA6"/>
    <w:rsid w:val="00EF0A33"/>
    <w:rsid w:val="00F00EB7"/>
    <w:rsid w:val="00F2258E"/>
    <w:rsid w:val="00F33658"/>
    <w:rsid w:val="00F33959"/>
    <w:rsid w:val="00F36AB6"/>
    <w:rsid w:val="00F3787F"/>
    <w:rsid w:val="00F409CE"/>
    <w:rsid w:val="00F64FB9"/>
    <w:rsid w:val="00F7082B"/>
    <w:rsid w:val="00F8456F"/>
    <w:rsid w:val="00F84DF4"/>
    <w:rsid w:val="00F853FB"/>
    <w:rsid w:val="00F85C97"/>
    <w:rsid w:val="00F868B0"/>
    <w:rsid w:val="00F93E95"/>
    <w:rsid w:val="00FA2FE1"/>
    <w:rsid w:val="00FC1D41"/>
    <w:rsid w:val="00FC606D"/>
    <w:rsid w:val="00FC7068"/>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Titre1">
    <w:name w:val="heading 1"/>
    <w:basedOn w:val="Normal"/>
    <w:next w:val="Normal"/>
    <w:link w:val="Titre1C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Policepardfaut"/>
    <w:link w:val="SCCNormalDoubleSpacing"/>
    <w:rsid w:val="003866EC"/>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Policepardfau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Policepardfau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Policepardfau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Policepardfau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Policepardfaut"/>
    <w:link w:val="SCCLsocOtherPartySeparator"/>
    <w:rsid w:val="00527180"/>
    <w:rPr>
      <w:sz w:val="24"/>
    </w:rPr>
  </w:style>
  <w:style w:type="character" w:customStyle="1" w:styleId="Titre1Car">
    <w:name w:val="Titre 1 Car"/>
    <w:basedOn w:val="Policepardfaut"/>
    <w:link w:val="Titre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sz w:val="24"/>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sz w:val="24"/>
      <w:lang w:val="fr-CA"/>
    </w:rPr>
  </w:style>
  <w:style w:type="table" w:styleId="Grilledutableau">
    <w:name w:val="Table Grid"/>
    <w:basedOn w:val="TableauNormal"/>
    <w:uiPriority w:val="59"/>
    <w:rsid w:val="00CA051A"/>
    <w:rPr>
      <w:rFonts w:eastAsiaTheme="minorHAnsi"/>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A24B1"/>
    <w:rPr>
      <w:color w:val="0000FF" w:themeColor="hyperlink"/>
      <w:u w:val="single"/>
    </w:rPr>
  </w:style>
  <w:style w:type="paragraph" w:customStyle="1" w:styleId="ParaNoNdepar-AltN">
    <w:name w:val="Para. No. / Nº de par. - Alt N"/>
    <w:qFormat/>
    <w:rsid w:val="00DA24B1"/>
    <w:pPr>
      <w:numPr>
        <w:numId w:val="1"/>
      </w:numPr>
      <w:spacing w:before="480" w:after="480" w:line="480" w:lineRule="auto"/>
      <w:jc w:val="both"/>
    </w:pPr>
    <w:rPr>
      <w:rFonts w:eastAsiaTheme="minorEastAsia" w:cstheme="minorBidi"/>
      <w:sz w:val="24"/>
      <w:szCs w:val="22"/>
      <w:lang w:eastAsia="en-US"/>
    </w:rPr>
  </w:style>
  <w:style w:type="paragraph" w:customStyle="1" w:styleId="SCCLsocPrefix">
    <w:name w:val="SCC.Lsoc.Prefix"/>
    <w:basedOn w:val="Normal"/>
    <w:next w:val="Normal"/>
    <w:link w:val="SCCLsocPrefixChar"/>
    <w:rsid w:val="003A00D1"/>
    <w:rPr>
      <w:rFonts w:eastAsiaTheme="minorHAnsi" w:cstheme="minorBidi"/>
      <w:b/>
      <w:smallCaps/>
      <w:szCs w:val="24"/>
      <w:lang w:eastAsia="en-US"/>
    </w:rPr>
  </w:style>
  <w:style w:type="character" w:customStyle="1" w:styleId="SCCLsocPrefixChar">
    <w:name w:val="SCC.Lsoc.Prefix Char"/>
    <w:basedOn w:val="Policepardfaut"/>
    <w:link w:val="SCCLsocPrefix"/>
    <w:rsid w:val="003A00D1"/>
    <w:rPr>
      <w:rFonts w:eastAsiaTheme="minorHAnsi" w:cstheme="minorBidi"/>
      <w:b/>
      <w:smallCaps/>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Titre1">
    <w:name w:val="heading 1"/>
    <w:basedOn w:val="Normal"/>
    <w:next w:val="Normal"/>
    <w:link w:val="Titre1C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Policepardfaut"/>
    <w:link w:val="SCCNormalDoubleSpacing"/>
    <w:rsid w:val="003866EC"/>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Policepardfau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Policepardfau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Policepardfau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Policepardfau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Policepardfaut"/>
    <w:link w:val="SCCLsocOtherPartySeparator"/>
    <w:rsid w:val="00527180"/>
    <w:rPr>
      <w:sz w:val="24"/>
    </w:rPr>
  </w:style>
  <w:style w:type="character" w:customStyle="1" w:styleId="Titre1Car">
    <w:name w:val="Titre 1 Car"/>
    <w:basedOn w:val="Policepardfaut"/>
    <w:link w:val="Titre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sz w:val="24"/>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sz w:val="24"/>
      <w:lang w:val="fr-CA"/>
    </w:rPr>
  </w:style>
  <w:style w:type="table" w:styleId="Grilledutableau">
    <w:name w:val="Table Grid"/>
    <w:basedOn w:val="TableauNormal"/>
    <w:uiPriority w:val="59"/>
    <w:rsid w:val="00CA051A"/>
    <w:rPr>
      <w:rFonts w:eastAsiaTheme="minorHAnsi"/>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A24B1"/>
    <w:rPr>
      <w:color w:val="0000FF" w:themeColor="hyperlink"/>
      <w:u w:val="single"/>
    </w:rPr>
  </w:style>
  <w:style w:type="paragraph" w:customStyle="1" w:styleId="ParaNoNdepar-AltN">
    <w:name w:val="Para. No. / Nº de par. - Alt N"/>
    <w:qFormat/>
    <w:rsid w:val="00DA24B1"/>
    <w:pPr>
      <w:numPr>
        <w:numId w:val="1"/>
      </w:numPr>
      <w:spacing w:before="480" w:after="480" w:line="480" w:lineRule="auto"/>
      <w:jc w:val="both"/>
    </w:pPr>
    <w:rPr>
      <w:rFonts w:eastAsiaTheme="minorEastAsia" w:cstheme="minorBidi"/>
      <w:sz w:val="24"/>
      <w:szCs w:val="22"/>
      <w:lang w:eastAsia="en-US"/>
    </w:rPr>
  </w:style>
  <w:style w:type="paragraph" w:customStyle="1" w:styleId="SCCLsocPrefix">
    <w:name w:val="SCC.Lsoc.Prefix"/>
    <w:basedOn w:val="Normal"/>
    <w:next w:val="Normal"/>
    <w:link w:val="SCCLsocPrefixChar"/>
    <w:rsid w:val="003A00D1"/>
    <w:rPr>
      <w:rFonts w:eastAsiaTheme="minorHAnsi" w:cstheme="minorBidi"/>
      <w:b/>
      <w:smallCaps/>
      <w:szCs w:val="24"/>
      <w:lang w:eastAsia="en-US"/>
    </w:rPr>
  </w:style>
  <w:style w:type="character" w:customStyle="1" w:styleId="SCCLsocPrefixChar">
    <w:name w:val="SCC.Lsoc.Prefix Char"/>
    <w:basedOn w:val="Policepardfaut"/>
    <w:link w:val="SCCLsocPrefix"/>
    <w:rsid w:val="003A00D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1E76-C15B-4CC9-B03A-28F91A8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1702</Words>
  <Characters>9362</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2012-04-16T15:06:00Z</dcterms:created>
  <dcterms:modified xsi:type="dcterms:W3CDTF">2012-04-16T15:25:00Z</dcterms:modified>
</cp:coreProperties>
</file>