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96" w:rsidRDefault="00307F96" w:rsidP="00307F96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8" o:title=""/>
          </v:shape>
          <o:OLEObject Type="Embed" ProgID="Presentations.Drawing.13" ShapeID="_x0000_i1025" DrawAspect="Content" ObjectID="_1391246811" r:id="rId9"/>
        </w:object>
      </w:r>
      <w:r>
        <w:t xml:space="preserve"> </w:t>
      </w:r>
      <w:r>
        <w:ptab w:relativeTo="margin" w:alignment="right" w:leader="none"/>
      </w:r>
    </w:p>
    <w:p w:rsidR="00307F96" w:rsidRDefault="00307F96" w:rsidP="00307F96">
      <w:pPr>
        <w:pStyle w:val="Header"/>
      </w:pPr>
    </w:p>
    <w:p w:rsidR="00307F96" w:rsidRPr="001E12E2" w:rsidRDefault="00307F96" w:rsidP="00307F96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307F96" w:rsidRDefault="00307F96" w:rsidP="00307F96">
      <w:pPr>
        <w:pStyle w:val="Header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6768"/>
        <w:gridCol w:w="2808"/>
      </w:tblGrid>
      <w:tr w:rsidR="00307F96" w:rsidRPr="001E12E2" w:rsidTr="00342FDD">
        <w:trPr>
          <w:cantSplit/>
        </w:trPr>
        <w:tc>
          <w:tcPr>
            <w:tcW w:w="6768" w:type="dxa"/>
          </w:tcPr>
          <w:p w:rsidR="00307F96" w:rsidRPr="00307F96" w:rsidRDefault="00307F96" w:rsidP="00342FDD">
            <w:pPr>
              <w:rPr>
                <w:lang w:val="fr-CA"/>
              </w:rPr>
            </w:pPr>
            <w:r w:rsidRPr="00307F96">
              <w:rPr>
                <w:b/>
                <w:smallCaps/>
                <w:lang w:val="fr-CA"/>
              </w:rPr>
              <w:t xml:space="preserve">Référence </w:t>
            </w:r>
            <w:proofErr w:type="gramStart"/>
            <w:r w:rsidRPr="00307F96">
              <w:rPr>
                <w:lang w:val="fr-CA"/>
              </w:rPr>
              <w:t xml:space="preserve">:  </w:t>
            </w:r>
            <w:r w:rsidRPr="00307F96">
              <w:rPr>
                <w:rStyle w:val="SCCAppellantForIndexChar"/>
                <w:rFonts w:eastAsiaTheme="minorHAnsi"/>
                <w:b w:val="0"/>
              </w:rPr>
              <w:t>R</w:t>
            </w:r>
            <w:proofErr w:type="gramEnd"/>
            <w:r w:rsidRPr="00307F96">
              <w:rPr>
                <w:rStyle w:val="SCCAppellantForIndexChar"/>
                <w:rFonts w:eastAsiaTheme="minorHAnsi"/>
                <w:b w:val="0"/>
              </w:rPr>
              <w:t>.</w:t>
            </w:r>
            <w:r w:rsidRPr="00307F96">
              <w:rPr>
                <w:b/>
                <w:lang w:val="fr-CA"/>
              </w:rPr>
              <w:t xml:space="preserve"> </w:t>
            </w:r>
            <w:r w:rsidRPr="00307F96">
              <w:rPr>
                <w:i/>
                <w:lang w:val="fr-CA"/>
              </w:rPr>
              <w:t>c.</w:t>
            </w:r>
            <w:r w:rsidRPr="00307F96">
              <w:rPr>
                <w:b/>
                <w:lang w:val="fr-CA"/>
              </w:rPr>
              <w:t xml:space="preserve"> </w:t>
            </w:r>
            <w:r w:rsidRPr="00307F96">
              <w:rPr>
                <w:lang w:val="fr-CA"/>
              </w:rPr>
              <w:t>Whyte</w:t>
            </w:r>
            <w:r w:rsidRPr="00307F96">
              <w:rPr>
                <w:rStyle w:val="SCCRespondentForIndexChar"/>
                <w:rFonts w:eastAsiaTheme="minorHAnsi"/>
                <w:b w:val="0"/>
              </w:rPr>
              <w:t>, 2011 CSC 49, [2011] 3 R.C.S. 364</w:t>
            </w:r>
          </w:p>
        </w:tc>
        <w:tc>
          <w:tcPr>
            <w:tcW w:w="2808" w:type="dxa"/>
          </w:tcPr>
          <w:p w:rsidR="00307F96" w:rsidRPr="001E12E2" w:rsidRDefault="00307F96" w:rsidP="00342FDD">
            <w:r w:rsidRPr="001E12E2">
              <w:rPr>
                <w:b/>
                <w:smallCaps/>
              </w:rPr>
              <w:t xml:space="preserve">Date </w:t>
            </w:r>
            <w:r w:rsidRPr="001E12E2">
              <w:t xml:space="preserve">: </w:t>
            </w:r>
            <w:r>
              <w:t>20111020</w:t>
            </w:r>
          </w:p>
          <w:p w:rsidR="00307F96" w:rsidRPr="001E12E2" w:rsidRDefault="00307F96" w:rsidP="00342FDD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</w:t>
            </w:r>
            <w:r w:rsidRPr="001E12E2">
              <w:rPr>
                <w:b/>
                <w:smallCaps/>
              </w:rPr>
              <w:t xml:space="preserve"> </w:t>
            </w:r>
            <w:r w:rsidRPr="001E12E2">
              <w:t xml:space="preserve">: </w:t>
            </w:r>
            <w:r>
              <w:t>33965</w:t>
            </w:r>
          </w:p>
        </w:tc>
      </w:tr>
    </w:tbl>
    <w:p w:rsidR="00307F96" w:rsidRPr="001E12E2" w:rsidRDefault="00307F96" w:rsidP="00307F96"/>
    <w:p w:rsidR="00307F96" w:rsidRDefault="00307F96" w:rsidP="00307F96">
      <w:pPr>
        <w:pStyle w:val="SCCLsocPrefix"/>
        <w:tabs>
          <w:tab w:val="left" w:pos="3456"/>
        </w:tabs>
      </w:pPr>
      <w:r>
        <w:t>Entre :</w:t>
      </w:r>
      <w:r>
        <w:tab/>
      </w:r>
    </w:p>
    <w:p w:rsidR="00307F96" w:rsidRDefault="00307F96" w:rsidP="00307F96">
      <w:pPr>
        <w:pStyle w:val="SCCLsocParty"/>
      </w:pPr>
      <w:r>
        <w:t>Mark Whyte</w:t>
      </w:r>
    </w:p>
    <w:p w:rsidR="00307F96" w:rsidRDefault="00307F96" w:rsidP="00307F96">
      <w:pPr>
        <w:pStyle w:val="SCCLsocPartyRole"/>
      </w:pPr>
      <w:r>
        <w:t>Appelant</w:t>
      </w:r>
    </w:p>
    <w:p w:rsidR="00307F96" w:rsidRDefault="00307F96" w:rsidP="00307F96">
      <w:pPr>
        <w:pStyle w:val="SCCLsocVersus"/>
      </w:pPr>
      <w:proofErr w:type="gramStart"/>
      <w:r>
        <w:t>et</w:t>
      </w:r>
      <w:proofErr w:type="gramEnd"/>
    </w:p>
    <w:p w:rsidR="00307F96" w:rsidRDefault="00307F96" w:rsidP="00307F96">
      <w:pPr>
        <w:pStyle w:val="SCCLsocParty"/>
      </w:pPr>
      <w:r>
        <w:t xml:space="preserve">Sa </w:t>
      </w:r>
      <w:proofErr w:type="spellStart"/>
      <w:r>
        <w:t>Majesté</w:t>
      </w:r>
      <w:proofErr w:type="spellEnd"/>
      <w:r>
        <w:t xml:space="preserve"> la </w:t>
      </w:r>
      <w:proofErr w:type="spellStart"/>
      <w:r>
        <w:t>Reine</w:t>
      </w:r>
      <w:proofErr w:type="spellEnd"/>
    </w:p>
    <w:p w:rsidR="00307F96" w:rsidRDefault="00307F96" w:rsidP="00307F96">
      <w:pPr>
        <w:pStyle w:val="SCCLsocPartyRole"/>
      </w:pPr>
      <w:r>
        <w:t>Intimée</w:t>
      </w:r>
    </w:p>
    <w:p w:rsidR="00307F96" w:rsidRDefault="00307F96" w:rsidP="00307F96"/>
    <w:p w:rsidR="00307F96" w:rsidRPr="001E12E2" w:rsidRDefault="00307F96" w:rsidP="00307F96">
      <w:pPr>
        <w:jc w:val="center"/>
        <w:rPr>
          <w:b/>
          <w:smallCaps/>
        </w:rPr>
      </w:pPr>
      <w:proofErr w:type="spellStart"/>
      <w:r>
        <w:rPr>
          <w:b/>
          <w:smallCaps/>
        </w:rPr>
        <w:t>Traduction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française</w:t>
      </w:r>
      <w:proofErr w:type="spellEnd"/>
      <w:r>
        <w:rPr>
          <w:b/>
          <w:smallCaps/>
        </w:rPr>
        <w:t xml:space="preserve"> </w:t>
      </w:r>
      <w:proofErr w:type="spellStart"/>
      <w:r>
        <w:rPr>
          <w:b/>
          <w:smallCaps/>
        </w:rPr>
        <w:t>o</w:t>
      </w:r>
      <w:r w:rsidRPr="001E12E2">
        <w:rPr>
          <w:b/>
          <w:smallCaps/>
        </w:rPr>
        <w:t>ffici</w:t>
      </w:r>
      <w:r>
        <w:rPr>
          <w:b/>
          <w:smallCaps/>
        </w:rPr>
        <w:t>elle</w:t>
      </w:r>
      <w:proofErr w:type="spellEnd"/>
    </w:p>
    <w:p w:rsidR="00307F96" w:rsidRPr="001E12E2" w:rsidRDefault="00307F96" w:rsidP="00307F96"/>
    <w:p w:rsidR="00307F96" w:rsidRPr="00307F96" w:rsidRDefault="00307F96" w:rsidP="00307F96">
      <w:pPr>
        <w:rPr>
          <w:lang w:val="fr-CA"/>
        </w:rPr>
      </w:pPr>
      <w:r w:rsidRPr="00307F96">
        <w:rPr>
          <w:b/>
          <w:smallCaps/>
          <w:lang w:val="fr-CA"/>
        </w:rPr>
        <w:t xml:space="preserve">Coram </w:t>
      </w:r>
      <w:r w:rsidRPr="00307F96">
        <w:rPr>
          <w:b/>
          <w:lang w:val="fr-CA"/>
        </w:rPr>
        <w:t>:</w:t>
      </w:r>
      <w:r w:rsidRPr="00307F96">
        <w:rPr>
          <w:lang w:val="fr-CA"/>
        </w:rPr>
        <w:t xml:space="preserve"> Les juges Deschamps, Fish, Abella, Rothstein et Cromwell</w:t>
      </w:r>
    </w:p>
    <w:p w:rsidR="00307F96" w:rsidRPr="00307F96" w:rsidRDefault="00307F96" w:rsidP="00307F96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/>
      </w:tblPr>
      <w:tblGrid>
        <w:gridCol w:w="3618"/>
        <w:gridCol w:w="5958"/>
      </w:tblGrid>
      <w:tr w:rsidR="00307F96" w:rsidRPr="00307F96" w:rsidTr="00342FDD">
        <w:trPr>
          <w:cantSplit/>
        </w:trPr>
        <w:tc>
          <w:tcPr>
            <w:tcW w:w="3618" w:type="dxa"/>
          </w:tcPr>
          <w:p w:rsidR="00307F96" w:rsidRPr="00307F96" w:rsidRDefault="00307F96" w:rsidP="00342FDD">
            <w:pPr>
              <w:rPr>
                <w:lang w:val="fr-CA"/>
              </w:rPr>
            </w:pPr>
            <w:r w:rsidRPr="00307F96">
              <w:rPr>
                <w:b/>
                <w:smallCaps/>
                <w:lang w:val="fr-CA"/>
              </w:rPr>
              <w:t>Motifs de jugement</w:t>
            </w:r>
            <w:r w:rsidRPr="00307F96">
              <w:rPr>
                <w:lang w:val="fr-CA"/>
              </w:rPr>
              <w:t xml:space="preserve"> :</w:t>
            </w:r>
          </w:p>
          <w:p w:rsidR="00307F96" w:rsidRPr="00307F96" w:rsidRDefault="00307F96" w:rsidP="00342FDD">
            <w:pPr>
              <w:rPr>
                <w:lang w:val="fr-CA"/>
              </w:rPr>
            </w:pPr>
            <w:r w:rsidRPr="00307F96">
              <w:rPr>
                <w:lang w:val="fr-CA"/>
              </w:rPr>
              <w:t>(par. 1 à 2)</w:t>
            </w:r>
          </w:p>
        </w:tc>
        <w:tc>
          <w:tcPr>
            <w:tcW w:w="5958" w:type="dxa"/>
          </w:tcPr>
          <w:p w:rsidR="00307F96" w:rsidRPr="00307F96" w:rsidRDefault="00307F96" w:rsidP="00342FDD">
            <w:pPr>
              <w:rPr>
                <w:lang w:val="fr-CA"/>
              </w:rPr>
            </w:pPr>
            <w:r w:rsidRPr="00307F96">
              <w:rPr>
                <w:lang w:val="fr-CA"/>
              </w:rPr>
              <w:t>La juge Deschamps (avec l’accord des juges Fish, Abella, Rothstein et Cromwell)</w:t>
            </w:r>
          </w:p>
          <w:p w:rsidR="00307F96" w:rsidRPr="00307F96" w:rsidRDefault="00307F96" w:rsidP="00342FDD">
            <w:pPr>
              <w:rPr>
                <w:lang w:val="fr-CA"/>
              </w:rPr>
            </w:pPr>
          </w:p>
        </w:tc>
      </w:tr>
    </w:tbl>
    <w:p w:rsidR="00307F96" w:rsidRPr="00307F96" w:rsidRDefault="00307F96" w:rsidP="00307F96">
      <w:pPr>
        <w:rPr>
          <w:lang w:val="fr-CA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26.75pt;margin-top:14.5pt;width:197.25pt;height:0;z-index:251660288;mso-position-horizontal-relative:text;mso-position-vertical-relative:text" o:connectortype="straight"/>
        </w:pict>
      </w:r>
    </w:p>
    <w:p w:rsidR="00307F96" w:rsidRPr="00307F96" w:rsidRDefault="00307F96">
      <w:pPr>
        <w:spacing w:after="200" w:line="276" w:lineRule="auto"/>
        <w:rPr>
          <w:lang w:val="fr-CA"/>
        </w:rPr>
      </w:pPr>
      <w:r w:rsidRPr="00307F96">
        <w:rPr>
          <w:lang w:val="fr-CA"/>
        </w:rPr>
        <w:br w:type="page"/>
      </w:r>
    </w:p>
    <w:p w:rsidR="001B18CF" w:rsidRPr="005C381E" w:rsidRDefault="005C381E" w:rsidP="001B18CF">
      <w:pPr>
        <w:spacing w:line="480" w:lineRule="auto"/>
        <w:jc w:val="both"/>
        <w:rPr>
          <w:smallCaps/>
          <w:lang w:val="en-US"/>
        </w:rPr>
      </w:pPr>
      <w:r w:rsidRPr="005C381E">
        <w:rPr>
          <w:lang w:val="en-US"/>
        </w:rPr>
        <w:lastRenderedPageBreak/>
        <w:t xml:space="preserve">R. </w:t>
      </w:r>
      <w:r w:rsidRPr="005C381E">
        <w:rPr>
          <w:i/>
          <w:lang w:val="en-US"/>
        </w:rPr>
        <w:t>c</w:t>
      </w:r>
      <w:r w:rsidRPr="005C381E">
        <w:rPr>
          <w:lang w:val="en-US"/>
        </w:rPr>
        <w:t>. Whyte</w:t>
      </w:r>
      <w:r w:rsidRPr="005C381E">
        <w:rPr>
          <w:smallCaps/>
          <w:lang w:val="en-US"/>
        </w:rPr>
        <w:t xml:space="preserve">, </w:t>
      </w:r>
      <w:r>
        <w:rPr>
          <w:smallCaps/>
          <w:lang w:val="en-US"/>
        </w:rPr>
        <w:t>2011 CSC 49, [2011] 3 R.C.S. 364</w:t>
      </w:r>
    </w:p>
    <w:p w:rsidR="001B18CF" w:rsidRPr="005C381E" w:rsidRDefault="001B18CF" w:rsidP="001B18CF">
      <w:pPr>
        <w:spacing w:line="480" w:lineRule="auto"/>
        <w:jc w:val="both"/>
        <w:rPr>
          <w:smallCaps/>
          <w:lang w:val="en-US"/>
        </w:rPr>
      </w:pPr>
    </w:p>
    <w:p w:rsidR="001B18CF" w:rsidRPr="005C381E" w:rsidRDefault="001B18CF" w:rsidP="001B18CF">
      <w:pPr>
        <w:pStyle w:val="SCCLsocParty"/>
        <w:tabs>
          <w:tab w:val="right" w:pos="8280"/>
        </w:tabs>
        <w:spacing w:line="480" w:lineRule="auto"/>
        <w:rPr>
          <w:lang w:val="fr-CA"/>
        </w:rPr>
      </w:pPr>
      <w:r w:rsidRPr="005C381E">
        <w:rPr>
          <w:lang w:val="fr-CA"/>
        </w:rPr>
        <w:t>Mark Whyte</w:t>
      </w:r>
      <w:r w:rsidRPr="005C381E">
        <w:rPr>
          <w:lang w:val="fr-CA"/>
        </w:rPr>
        <w:tab/>
      </w:r>
      <w:r w:rsidRPr="005C381E">
        <w:rPr>
          <w:b w:val="0"/>
          <w:i/>
          <w:lang w:val="fr-CA"/>
        </w:rPr>
        <w:t>Appelant</w:t>
      </w:r>
    </w:p>
    <w:p w:rsidR="001B18CF" w:rsidRPr="005C381E" w:rsidRDefault="001B18CF" w:rsidP="001B18CF">
      <w:pPr>
        <w:pStyle w:val="SCCLsocParty"/>
        <w:tabs>
          <w:tab w:val="right" w:pos="8280"/>
        </w:tabs>
        <w:spacing w:line="480" w:lineRule="auto"/>
        <w:rPr>
          <w:lang w:val="fr-CA"/>
        </w:rPr>
      </w:pPr>
    </w:p>
    <w:p w:rsidR="001B18CF" w:rsidRPr="00B02C78" w:rsidRDefault="001B18CF" w:rsidP="001B18CF">
      <w:pPr>
        <w:pStyle w:val="SCCLsocVersus"/>
        <w:spacing w:line="480" w:lineRule="auto"/>
        <w:rPr>
          <w:lang w:val="fr-CA"/>
        </w:rPr>
      </w:pPr>
      <w:proofErr w:type="gramStart"/>
      <w:r w:rsidRPr="00B02C78">
        <w:rPr>
          <w:lang w:val="fr-CA"/>
        </w:rPr>
        <w:t>c</w:t>
      </w:r>
      <w:proofErr w:type="gramEnd"/>
      <w:r w:rsidRPr="00B02C78">
        <w:rPr>
          <w:lang w:val="fr-CA"/>
        </w:rPr>
        <w:t>.</w:t>
      </w:r>
    </w:p>
    <w:p w:rsidR="001B18CF" w:rsidRPr="00B02C78" w:rsidRDefault="001B18CF" w:rsidP="001B18CF">
      <w:pPr>
        <w:pStyle w:val="SCCLsocVersus"/>
        <w:spacing w:line="480" w:lineRule="auto"/>
        <w:rPr>
          <w:lang w:val="fr-CA"/>
        </w:rPr>
      </w:pPr>
    </w:p>
    <w:p w:rsidR="001B18CF" w:rsidRPr="00B02C78" w:rsidRDefault="001B18CF" w:rsidP="001B18CF">
      <w:pPr>
        <w:pStyle w:val="SCCLsocParty"/>
        <w:tabs>
          <w:tab w:val="right" w:pos="8280"/>
        </w:tabs>
        <w:spacing w:line="480" w:lineRule="auto"/>
        <w:rPr>
          <w:lang w:val="fr-CA"/>
        </w:rPr>
      </w:pPr>
      <w:r w:rsidRPr="00B02C78">
        <w:rPr>
          <w:lang w:val="fr-CA"/>
        </w:rPr>
        <w:t>Sa Majesté la Reine</w:t>
      </w:r>
      <w:r w:rsidRPr="00B02C78">
        <w:rPr>
          <w:i/>
          <w:lang w:val="fr-CA"/>
        </w:rPr>
        <w:tab/>
      </w:r>
      <w:r w:rsidR="00AC7E97" w:rsidRPr="00B02C78">
        <w:rPr>
          <w:b w:val="0"/>
          <w:i/>
          <w:lang w:val="fr-CA"/>
        </w:rPr>
        <w:t>I</w:t>
      </w:r>
      <w:r w:rsidRPr="00B02C78">
        <w:rPr>
          <w:b w:val="0"/>
          <w:i/>
          <w:lang w:val="fr-CA"/>
        </w:rPr>
        <w:t>ntimée</w:t>
      </w: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</w:p>
    <w:p w:rsidR="001B18CF" w:rsidRPr="00B02C78" w:rsidRDefault="00C432BD" w:rsidP="001B18CF">
      <w:pPr>
        <w:spacing w:line="480" w:lineRule="auto"/>
        <w:jc w:val="both"/>
        <w:rPr>
          <w:b/>
          <w:lang w:val="fr-CA"/>
        </w:rPr>
      </w:pPr>
      <w:r w:rsidRPr="00B02C78">
        <w:rPr>
          <w:b/>
          <w:lang w:val="fr-CA"/>
        </w:rPr>
        <w:t>Répertorié : </w:t>
      </w:r>
      <w:r w:rsidR="001B18CF" w:rsidRPr="00B02C78">
        <w:rPr>
          <w:b/>
          <w:lang w:val="fr-CA"/>
        </w:rPr>
        <w:t xml:space="preserve">R. </w:t>
      </w:r>
      <w:r w:rsidR="001B18CF" w:rsidRPr="00B02C78">
        <w:rPr>
          <w:b/>
          <w:i/>
          <w:lang w:val="fr-CA"/>
        </w:rPr>
        <w:t>c</w:t>
      </w:r>
      <w:r w:rsidR="001B18CF" w:rsidRPr="00B02C78">
        <w:rPr>
          <w:b/>
          <w:lang w:val="fr-CA"/>
        </w:rPr>
        <w:t>. Whyte</w:t>
      </w: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</w:p>
    <w:p w:rsidR="001B18CF" w:rsidRPr="00B02C78" w:rsidRDefault="001B18CF" w:rsidP="001B18CF">
      <w:pPr>
        <w:pStyle w:val="SCCSystemYear"/>
        <w:spacing w:line="480" w:lineRule="auto"/>
        <w:jc w:val="both"/>
        <w:rPr>
          <w:lang w:val="fr-CA"/>
        </w:rPr>
      </w:pPr>
      <w:r w:rsidRPr="00B02C78">
        <w:rPr>
          <w:lang w:val="fr-CA"/>
        </w:rPr>
        <w:t>2011 CSC 49</w:t>
      </w: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  <w:r w:rsidRPr="00B02C78">
        <w:rPr>
          <w:lang w:val="fr-CA"/>
        </w:rPr>
        <w:t>N</w:t>
      </w:r>
      <w:r w:rsidRPr="00B02C78">
        <w:rPr>
          <w:vertAlign w:val="superscript"/>
          <w:lang w:val="fr-CA"/>
        </w:rPr>
        <w:t>o</w:t>
      </w:r>
      <w:r w:rsidRPr="00B02C78">
        <w:rPr>
          <w:lang w:val="fr-CA"/>
        </w:rPr>
        <w:t xml:space="preserve"> du greffe : 33965.</w:t>
      </w: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  <w:r w:rsidRPr="00B02C78">
        <w:rPr>
          <w:lang w:val="fr-CA"/>
        </w:rPr>
        <w:t>2011: 20 octobre.</w:t>
      </w: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</w:p>
    <w:p w:rsidR="001B18CF" w:rsidRPr="00B02C78" w:rsidRDefault="001B18CF" w:rsidP="001B18CF">
      <w:pPr>
        <w:spacing w:line="480" w:lineRule="auto"/>
        <w:jc w:val="both"/>
        <w:rPr>
          <w:lang w:val="fr-CA"/>
        </w:rPr>
      </w:pPr>
      <w:r w:rsidRPr="00B02C78">
        <w:rPr>
          <w:lang w:val="fr-CA"/>
        </w:rPr>
        <w:t xml:space="preserve">Présents : Les juges Deschamps, Fish, Abella, </w:t>
      </w:r>
      <w:r w:rsidR="000C2D8D" w:rsidRPr="00B02C78">
        <w:rPr>
          <w:lang w:val="fr-CA"/>
        </w:rPr>
        <w:t>Rothstein</w:t>
      </w:r>
      <w:r w:rsidRPr="00B02C78">
        <w:rPr>
          <w:lang w:val="fr-CA"/>
        </w:rPr>
        <w:t xml:space="preserve"> et Cromwell.</w:t>
      </w:r>
    </w:p>
    <w:p w:rsidR="001B18CF" w:rsidRPr="00B02C78" w:rsidRDefault="001B18CF" w:rsidP="001B18CF">
      <w:pPr>
        <w:spacing w:line="480" w:lineRule="auto"/>
        <w:jc w:val="both"/>
        <w:rPr>
          <w:szCs w:val="24"/>
          <w:lang w:val="fr-CA"/>
        </w:rPr>
      </w:pPr>
    </w:p>
    <w:p w:rsidR="001B18CF" w:rsidRPr="00B02C78" w:rsidRDefault="0038290B" w:rsidP="001B18CF">
      <w:pPr>
        <w:spacing w:line="480" w:lineRule="auto"/>
        <w:jc w:val="both"/>
        <w:rPr>
          <w:smallCaps/>
          <w:szCs w:val="24"/>
          <w:lang w:val="fr-CA"/>
        </w:rPr>
      </w:pPr>
      <w:r w:rsidRPr="00B02C78">
        <w:rPr>
          <w:smallCaps/>
          <w:szCs w:val="24"/>
          <w:lang w:val="fr-CA"/>
        </w:rPr>
        <w:t>e</w:t>
      </w:r>
      <w:r w:rsidR="00E56B27" w:rsidRPr="00B02C78">
        <w:rPr>
          <w:smallCaps/>
          <w:szCs w:val="24"/>
          <w:lang w:val="fr-CA"/>
        </w:rPr>
        <w:t>n appel de la cour</w:t>
      </w:r>
      <w:r w:rsidRPr="00B02C78">
        <w:rPr>
          <w:smallCaps/>
          <w:szCs w:val="24"/>
          <w:lang w:val="fr-CA"/>
        </w:rPr>
        <w:t xml:space="preserve"> d’appel de l’</w:t>
      </w:r>
      <w:proofErr w:type="spellStart"/>
      <w:r w:rsidRPr="00B02C78">
        <w:rPr>
          <w:smallCaps/>
          <w:szCs w:val="24"/>
          <w:lang w:val="fr-CA"/>
        </w:rPr>
        <w:t>o</w:t>
      </w:r>
      <w:r w:rsidR="00E56B27" w:rsidRPr="00B02C78">
        <w:rPr>
          <w:smallCaps/>
          <w:szCs w:val="24"/>
          <w:lang w:val="fr-CA"/>
        </w:rPr>
        <w:t>ntario</w:t>
      </w:r>
      <w:proofErr w:type="spellEnd"/>
    </w:p>
    <w:p w:rsidR="001B18CF" w:rsidRPr="00B02C78" w:rsidRDefault="001B18CF" w:rsidP="001B18CF">
      <w:pPr>
        <w:pStyle w:val="SCCNormalDoubleSpacing"/>
        <w:rPr>
          <w:szCs w:val="24"/>
          <w:lang w:val="fr-CA"/>
        </w:rPr>
      </w:pPr>
    </w:p>
    <w:p w:rsidR="0089016F" w:rsidRPr="00B02C78" w:rsidRDefault="001B18CF" w:rsidP="0089016F">
      <w:pPr>
        <w:spacing w:line="480" w:lineRule="auto"/>
        <w:jc w:val="both"/>
        <w:rPr>
          <w:i/>
          <w:lang w:val="fr-CA"/>
        </w:rPr>
      </w:pPr>
      <w:r w:rsidRPr="00B02C78">
        <w:rPr>
          <w:lang w:val="fr-CA"/>
        </w:rPr>
        <w:tab/>
      </w:r>
      <w:r w:rsidR="0089016F" w:rsidRPr="00B02C78">
        <w:rPr>
          <w:i/>
          <w:lang w:val="fr-CA"/>
        </w:rPr>
        <w:t>Droit constitutionnel — Charte des droits — Réparation — Exclusion d’éléments de preuve — Articles 8 et 9 de la Charte</w:t>
      </w:r>
      <w:r w:rsidR="004A5FCF" w:rsidRPr="00B02C78">
        <w:rPr>
          <w:i/>
          <w:lang w:val="fr-CA"/>
        </w:rPr>
        <w:t xml:space="preserve"> canadienne des droits et libertés</w:t>
      </w:r>
      <w:r w:rsidR="0089016F" w:rsidRPr="00B02C78">
        <w:rPr>
          <w:i/>
          <w:lang w:val="fr-CA"/>
        </w:rPr>
        <w:t xml:space="preserve"> </w:t>
      </w:r>
      <w:r w:rsidR="0089016F" w:rsidRPr="00B02C78">
        <w:rPr>
          <w:i/>
          <w:lang w:val="fr-CA"/>
        </w:rPr>
        <w:lastRenderedPageBreak/>
        <w:t xml:space="preserve">non violés par la conduite des policiers — Éléments de preuve obtenus à la suite d’une arrestation et d’une </w:t>
      </w:r>
      <w:r w:rsidR="006B20FB" w:rsidRPr="00B02C78">
        <w:rPr>
          <w:i/>
          <w:lang w:val="fr-CA"/>
        </w:rPr>
        <w:t>fouille</w:t>
      </w:r>
      <w:r w:rsidR="0089016F" w:rsidRPr="00B02C78">
        <w:rPr>
          <w:i/>
          <w:lang w:val="fr-CA"/>
        </w:rPr>
        <w:t xml:space="preserve"> exclus à tort au procès.</w:t>
      </w:r>
    </w:p>
    <w:p w:rsidR="001B18CF" w:rsidRPr="00B02C78" w:rsidRDefault="001B18CF" w:rsidP="001B18CF">
      <w:pPr>
        <w:pStyle w:val="SCCNormalDoubleSpacing"/>
        <w:tabs>
          <w:tab w:val="left" w:pos="1170"/>
        </w:tabs>
        <w:spacing w:after="480"/>
        <w:rPr>
          <w:lang w:val="fr-CA"/>
        </w:rPr>
      </w:pPr>
    </w:p>
    <w:p w:rsidR="001B18CF" w:rsidRPr="00B02C78" w:rsidRDefault="000D5013" w:rsidP="0089016F">
      <w:pPr>
        <w:pStyle w:val="SCCNormalDoubleSpacing"/>
        <w:tabs>
          <w:tab w:val="left" w:pos="1170"/>
        </w:tabs>
        <w:spacing w:after="480"/>
        <w:rPr>
          <w:lang w:val="fr-CA"/>
        </w:rPr>
      </w:pPr>
      <w:r w:rsidRPr="00B02C78">
        <w:rPr>
          <w:lang w:val="fr-CA"/>
        </w:rPr>
        <w:tab/>
      </w:r>
      <w:r w:rsidR="00725CA9" w:rsidRPr="00B02C78">
        <w:rPr>
          <w:lang w:val="fr-CA"/>
        </w:rPr>
        <w:t>POURVOI</w:t>
      </w:r>
      <w:r w:rsidR="001B18CF" w:rsidRPr="00B02C78">
        <w:rPr>
          <w:lang w:val="fr-CA"/>
        </w:rPr>
        <w:t xml:space="preserve"> </w:t>
      </w:r>
      <w:r w:rsidR="00725CA9" w:rsidRPr="00B02C78">
        <w:rPr>
          <w:lang w:val="fr-CA"/>
        </w:rPr>
        <w:t>contre un arrêt de la Cour d’appel de l’Ontario</w:t>
      </w:r>
      <w:r w:rsidR="001B18CF" w:rsidRPr="00B02C78">
        <w:rPr>
          <w:lang w:val="fr-CA"/>
        </w:rPr>
        <w:t xml:space="preserve"> (</w:t>
      </w:r>
      <w:r w:rsidR="00725CA9" w:rsidRPr="00B02C78">
        <w:rPr>
          <w:lang w:val="fr-CA"/>
        </w:rPr>
        <w:t xml:space="preserve">les juges </w:t>
      </w:r>
      <w:r w:rsidR="001B18CF" w:rsidRPr="00B02C78">
        <w:rPr>
          <w:lang w:val="fr-CA"/>
        </w:rPr>
        <w:t>Ro</w:t>
      </w:r>
      <w:r w:rsidR="00725CA9" w:rsidRPr="00B02C78">
        <w:rPr>
          <w:lang w:val="fr-CA"/>
        </w:rPr>
        <w:t xml:space="preserve">senberg, </w:t>
      </w:r>
      <w:proofErr w:type="spellStart"/>
      <w:r w:rsidR="00725CA9" w:rsidRPr="00B02C78">
        <w:rPr>
          <w:lang w:val="fr-CA"/>
        </w:rPr>
        <w:t>Cronk</w:t>
      </w:r>
      <w:proofErr w:type="spellEnd"/>
      <w:r w:rsidR="00725CA9" w:rsidRPr="00B02C78">
        <w:rPr>
          <w:lang w:val="fr-CA"/>
        </w:rPr>
        <w:t xml:space="preserve"> et Epstein</w:t>
      </w:r>
      <w:r w:rsidR="001B18CF" w:rsidRPr="00B02C78">
        <w:rPr>
          <w:lang w:val="fr-CA"/>
        </w:rPr>
        <w:t xml:space="preserve">), 2011 ONCA 24, 272 O.A.C. 317, 266 C.C.C. (3d) 5, 225 C.R.R. (2d) 223, [2011] O.J. No. 126 (QL), 2011 </w:t>
      </w:r>
      <w:proofErr w:type="spellStart"/>
      <w:r w:rsidR="001B18CF" w:rsidRPr="00B02C78">
        <w:rPr>
          <w:lang w:val="fr-CA"/>
        </w:rPr>
        <w:t>CarswellOnt</w:t>
      </w:r>
      <w:proofErr w:type="spellEnd"/>
      <w:r w:rsidR="001B18CF" w:rsidRPr="00B02C78">
        <w:rPr>
          <w:lang w:val="fr-CA"/>
        </w:rPr>
        <w:t xml:space="preserve"> 124, </w:t>
      </w:r>
      <w:r w:rsidR="00602686" w:rsidRPr="00B02C78">
        <w:rPr>
          <w:lang w:val="fr-CA"/>
        </w:rPr>
        <w:t xml:space="preserve">qui a </w:t>
      </w:r>
      <w:r w:rsidR="0089016F" w:rsidRPr="00B02C78">
        <w:rPr>
          <w:lang w:val="fr-CA"/>
        </w:rPr>
        <w:t xml:space="preserve">annulé l’acquittement prononcé par le </w:t>
      </w:r>
      <w:r w:rsidR="00602686" w:rsidRPr="00B02C78">
        <w:rPr>
          <w:lang w:val="fr-CA"/>
        </w:rPr>
        <w:t xml:space="preserve">juge </w:t>
      </w:r>
      <w:proofErr w:type="spellStart"/>
      <w:r w:rsidR="00602686" w:rsidRPr="00B02C78">
        <w:rPr>
          <w:lang w:val="fr-CA"/>
        </w:rPr>
        <w:t>Ricchetti</w:t>
      </w:r>
      <w:proofErr w:type="spellEnd"/>
      <w:r w:rsidR="001B18CF" w:rsidRPr="00B02C78">
        <w:rPr>
          <w:lang w:val="fr-CA"/>
        </w:rPr>
        <w:t xml:space="preserve">, 2010 ONSC 979, 214 C.R.R. (2d) 71, [2010] O.J. No. 1295 (QL), 2010 </w:t>
      </w:r>
      <w:proofErr w:type="spellStart"/>
      <w:r w:rsidR="001B18CF" w:rsidRPr="00B02C78">
        <w:rPr>
          <w:lang w:val="fr-CA"/>
        </w:rPr>
        <w:t>CarswellOnt</w:t>
      </w:r>
      <w:proofErr w:type="spellEnd"/>
      <w:r w:rsidR="001B18CF" w:rsidRPr="00B02C78">
        <w:rPr>
          <w:lang w:val="fr-CA"/>
        </w:rPr>
        <w:t xml:space="preserve"> 1917</w:t>
      </w:r>
      <w:r w:rsidR="006947EE" w:rsidRPr="00B02C78">
        <w:rPr>
          <w:lang w:val="fr-CA"/>
        </w:rPr>
        <w:t>, et consigné un verdict de culpabilité</w:t>
      </w:r>
      <w:r w:rsidR="001B18CF" w:rsidRPr="00B02C78">
        <w:rPr>
          <w:lang w:val="fr-CA"/>
        </w:rPr>
        <w:t xml:space="preserve">. </w:t>
      </w:r>
      <w:r w:rsidR="00602686" w:rsidRPr="00B02C78">
        <w:rPr>
          <w:lang w:val="fr-CA"/>
        </w:rPr>
        <w:t>Pourvoi rejeté</w:t>
      </w:r>
      <w:r w:rsidR="001B18CF" w:rsidRPr="00B02C78">
        <w:rPr>
          <w:lang w:val="fr-CA"/>
        </w:rPr>
        <w:t>.</w:t>
      </w:r>
    </w:p>
    <w:p w:rsidR="001B18CF" w:rsidRPr="00B02C78" w:rsidRDefault="001B18CF" w:rsidP="001B18CF">
      <w:pPr>
        <w:pStyle w:val="SCCNormalDoubleSpacing"/>
        <w:rPr>
          <w:lang w:val="fr-CA"/>
        </w:rPr>
      </w:pPr>
      <w:r w:rsidRPr="00B02C78">
        <w:rPr>
          <w:i/>
          <w:lang w:val="fr-CA"/>
        </w:rPr>
        <w:tab/>
        <w:t xml:space="preserve">Reid </w:t>
      </w:r>
      <w:proofErr w:type="spellStart"/>
      <w:r w:rsidRPr="00B02C78">
        <w:rPr>
          <w:i/>
          <w:lang w:val="fr-CA"/>
        </w:rPr>
        <w:t>Rusonik</w:t>
      </w:r>
      <w:proofErr w:type="spellEnd"/>
      <w:r w:rsidRPr="00B02C78">
        <w:rPr>
          <w:i/>
          <w:lang w:val="fr-CA"/>
        </w:rPr>
        <w:t xml:space="preserve"> </w:t>
      </w:r>
      <w:r w:rsidR="00AA3B8B" w:rsidRPr="00D772FC">
        <w:rPr>
          <w:lang w:val="fr-CA"/>
        </w:rPr>
        <w:t>et</w:t>
      </w:r>
      <w:r w:rsidRPr="00D772FC">
        <w:rPr>
          <w:lang w:val="fr-CA"/>
        </w:rPr>
        <w:t xml:space="preserve"> </w:t>
      </w:r>
      <w:r w:rsidRPr="00B02C78">
        <w:rPr>
          <w:i/>
          <w:lang w:val="fr-CA"/>
        </w:rPr>
        <w:t xml:space="preserve">Nathan </w:t>
      </w:r>
      <w:proofErr w:type="spellStart"/>
      <w:r w:rsidRPr="00B02C78">
        <w:rPr>
          <w:i/>
          <w:lang w:val="fr-CA"/>
        </w:rPr>
        <w:t>Gorham</w:t>
      </w:r>
      <w:proofErr w:type="spellEnd"/>
      <w:r w:rsidRPr="00B02C78">
        <w:rPr>
          <w:lang w:val="fr-CA"/>
        </w:rPr>
        <w:t xml:space="preserve">, </w:t>
      </w:r>
      <w:r w:rsidR="00AA3B8B" w:rsidRPr="00B02C78">
        <w:rPr>
          <w:lang w:val="fr-CA"/>
        </w:rPr>
        <w:t>pour l’appelant</w:t>
      </w:r>
      <w:r w:rsidRPr="00B02C78">
        <w:rPr>
          <w:lang w:val="fr-CA"/>
        </w:rPr>
        <w:t>.</w:t>
      </w:r>
    </w:p>
    <w:p w:rsidR="001B18CF" w:rsidRPr="00B02C78" w:rsidRDefault="001B18CF" w:rsidP="001B18CF">
      <w:pPr>
        <w:pStyle w:val="SCCNormalDoubleSpacing"/>
        <w:rPr>
          <w:lang w:val="fr-CA"/>
        </w:rPr>
      </w:pPr>
    </w:p>
    <w:p w:rsidR="001B18CF" w:rsidRPr="00B02C78" w:rsidRDefault="001B18CF" w:rsidP="00A12DA1">
      <w:pPr>
        <w:pStyle w:val="SCCNormalDoubleSpacing"/>
        <w:spacing w:after="480"/>
        <w:rPr>
          <w:lang w:val="fr-CA"/>
        </w:rPr>
      </w:pPr>
      <w:r w:rsidRPr="00B02C78">
        <w:rPr>
          <w:i/>
          <w:lang w:val="fr-CA"/>
        </w:rPr>
        <w:tab/>
        <w:t xml:space="preserve">Jennifer M. </w:t>
      </w:r>
      <w:proofErr w:type="spellStart"/>
      <w:r w:rsidRPr="00B02C78">
        <w:rPr>
          <w:i/>
          <w:lang w:val="fr-CA"/>
        </w:rPr>
        <w:t>Woollcombe</w:t>
      </w:r>
      <w:proofErr w:type="spellEnd"/>
      <w:r w:rsidRPr="00B02C78">
        <w:rPr>
          <w:lang w:val="fr-CA"/>
        </w:rPr>
        <w:t xml:space="preserve">, </w:t>
      </w:r>
      <w:r w:rsidR="00C573DF" w:rsidRPr="00B02C78">
        <w:rPr>
          <w:lang w:val="fr-CA"/>
        </w:rPr>
        <w:t>pour l’intimée</w:t>
      </w:r>
      <w:r w:rsidRPr="00B02C78">
        <w:rPr>
          <w:lang w:val="fr-CA"/>
        </w:rPr>
        <w:t>.</w:t>
      </w:r>
    </w:p>
    <w:p w:rsidR="001B18CF" w:rsidRPr="00B02C78" w:rsidRDefault="001B18CF" w:rsidP="00A12DA1">
      <w:pPr>
        <w:pStyle w:val="SCCNormalDoubleSpacing"/>
        <w:tabs>
          <w:tab w:val="left" w:pos="720"/>
        </w:tabs>
        <w:spacing w:after="480"/>
        <w:rPr>
          <w:szCs w:val="24"/>
          <w:lang w:val="fr-CA"/>
        </w:rPr>
      </w:pPr>
      <w:r w:rsidRPr="00B02C78">
        <w:rPr>
          <w:szCs w:val="24"/>
          <w:lang w:val="fr-CA"/>
        </w:rPr>
        <w:tab/>
      </w:r>
      <w:r w:rsidR="002717C3" w:rsidRPr="00B02C78">
        <w:rPr>
          <w:szCs w:val="24"/>
          <w:lang w:val="fr-CA"/>
        </w:rPr>
        <w:t>Version française du jugement de la Cour rendu oralement par</w:t>
      </w:r>
    </w:p>
    <w:p w:rsidR="00E56B27" w:rsidRPr="00B02C78" w:rsidRDefault="002D58E3" w:rsidP="00146C3F">
      <w:pPr>
        <w:pStyle w:val="ReasonsNumbering-AltN"/>
        <w:ind w:left="0" w:firstLine="0"/>
        <w:rPr>
          <w:lang w:val="fr-CA"/>
        </w:rPr>
      </w:pPr>
      <w:r w:rsidRPr="00B02C78">
        <w:rPr>
          <w:smallCaps/>
          <w:lang w:val="fr-CA"/>
        </w:rPr>
        <w:t xml:space="preserve">La juge Deschamps </w:t>
      </w:r>
      <w:r w:rsidR="001D15DF" w:rsidRPr="00B02C78">
        <w:rPr>
          <w:lang w:val="fr-CA"/>
        </w:rPr>
        <w:t>—</w:t>
      </w:r>
      <w:r w:rsidR="00E56B27" w:rsidRPr="00B02C78">
        <w:rPr>
          <w:lang w:val="fr-CA"/>
        </w:rPr>
        <w:t xml:space="preserve"> Nous </w:t>
      </w:r>
      <w:r w:rsidR="00E56B27" w:rsidRPr="00146C3F">
        <w:rPr>
          <w:lang w:val="fr-CA"/>
        </w:rPr>
        <w:t>sommes</w:t>
      </w:r>
      <w:r w:rsidR="00E56B27" w:rsidRPr="00B02C78">
        <w:rPr>
          <w:lang w:val="fr-CA"/>
        </w:rPr>
        <w:t xml:space="preserve"> d’avis que la Cour d’appel n’a pas commis d’erreur en concluant que, comme question de droit,</w:t>
      </w:r>
    </w:p>
    <w:p w:rsidR="00E56B27" w:rsidRPr="00B02C78" w:rsidRDefault="00A12DA1" w:rsidP="00A12DA1">
      <w:pPr>
        <w:tabs>
          <w:tab w:val="left" w:pos="1080"/>
        </w:tabs>
        <w:spacing w:after="240"/>
        <w:ind w:left="720" w:hanging="720"/>
        <w:jc w:val="both"/>
        <w:rPr>
          <w:lang w:val="fr-CA"/>
        </w:rPr>
      </w:pPr>
      <w:r w:rsidRPr="00B02C78">
        <w:rPr>
          <w:lang w:val="fr-CA"/>
        </w:rPr>
        <w:tab/>
      </w:r>
      <w:r w:rsidRPr="00B02C78">
        <w:rPr>
          <w:lang w:val="fr-CA"/>
        </w:rPr>
        <w:tab/>
      </w:r>
      <w:r w:rsidR="00E56B27" w:rsidRPr="00B02C78">
        <w:rPr>
          <w:lang w:val="fr-CA"/>
        </w:rPr>
        <w:t>[</w:t>
      </w:r>
      <w:r w:rsidR="002D58E3" w:rsidRPr="00B02C78">
        <w:rPr>
          <w:smallCaps/>
          <w:lang w:val="fr-CA"/>
        </w:rPr>
        <w:t>traduction</w:t>
      </w:r>
      <w:r w:rsidRPr="00B02C78">
        <w:rPr>
          <w:lang w:val="fr-CA"/>
        </w:rPr>
        <w:t xml:space="preserve">] </w:t>
      </w:r>
      <w:r w:rsidR="00E56B27" w:rsidRPr="00B02C78">
        <w:rPr>
          <w:lang w:val="fr-CA"/>
        </w:rPr>
        <w:t>[p]</w:t>
      </w:r>
      <w:proofErr w:type="spellStart"/>
      <w:r w:rsidR="00E56B27" w:rsidRPr="00B02C78">
        <w:rPr>
          <w:lang w:val="fr-CA"/>
        </w:rPr>
        <w:t>uisque</w:t>
      </w:r>
      <w:proofErr w:type="spellEnd"/>
      <w:r w:rsidR="00E56B27" w:rsidRPr="00B02C78">
        <w:rPr>
          <w:lang w:val="fr-CA"/>
        </w:rPr>
        <w:t xml:space="preserve"> la police avait des motifs, subjectifs et objectifs, raisonnables de croire que les occupants du véhicule étaient en possession d’armes à feu prohibées, leur arrestation et la fouille accessoire à cette dernière étaient légales.  Les droits des intimés protégés par </w:t>
      </w:r>
      <w:proofErr w:type="gramStart"/>
      <w:r w:rsidR="00E56B27" w:rsidRPr="00B02C78">
        <w:rPr>
          <w:lang w:val="fr-CA"/>
        </w:rPr>
        <w:t>les art</w:t>
      </w:r>
      <w:proofErr w:type="gramEnd"/>
      <w:r w:rsidR="00E56B27" w:rsidRPr="00B02C78">
        <w:rPr>
          <w:lang w:val="fr-CA"/>
        </w:rPr>
        <w:t xml:space="preserve">. 8 et 9 de la </w:t>
      </w:r>
      <w:r w:rsidR="00E56B27" w:rsidRPr="00B02C78">
        <w:rPr>
          <w:i/>
          <w:lang w:val="fr-CA"/>
        </w:rPr>
        <w:t>Charte</w:t>
      </w:r>
      <w:r w:rsidR="00E56B27" w:rsidRPr="00B02C78">
        <w:rPr>
          <w:lang w:val="fr-CA"/>
        </w:rPr>
        <w:t xml:space="preserve"> n’ont pas été violés et les éléments de preuve </w:t>
      </w:r>
      <w:r w:rsidRPr="00B02C78">
        <w:rPr>
          <w:lang w:val="fr-CA"/>
        </w:rPr>
        <w:t>n’auraient pas dû être exclus.</w:t>
      </w:r>
    </w:p>
    <w:p w:rsidR="00E56B27" w:rsidRPr="00B02C78" w:rsidRDefault="00E56B27" w:rsidP="00A12DA1">
      <w:pPr>
        <w:spacing w:after="480" w:line="480" w:lineRule="auto"/>
        <w:ind w:firstLine="720"/>
        <w:jc w:val="both"/>
        <w:rPr>
          <w:lang w:val="fr-CA"/>
        </w:rPr>
      </w:pPr>
      <w:r w:rsidRPr="00B02C78">
        <w:rPr>
          <w:lang w:val="fr-CA"/>
        </w:rPr>
        <w:lastRenderedPageBreak/>
        <w:t>(2011 ONCA 24, 266 C.C.C. (3d) 5, par. 32)</w:t>
      </w:r>
    </w:p>
    <w:p w:rsidR="001B18CF" w:rsidRPr="00B02C78" w:rsidRDefault="00E56B27" w:rsidP="00146C3F">
      <w:pPr>
        <w:pStyle w:val="ReasonsNumbering-AltN"/>
        <w:ind w:left="0" w:firstLine="0"/>
        <w:rPr>
          <w:lang w:val="fr-CA"/>
        </w:rPr>
      </w:pPr>
      <w:r w:rsidRPr="00B02C78">
        <w:rPr>
          <w:lang w:val="fr-CA"/>
        </w:rPr>
        <w:t xml:space="preserve">L’appel est donc </w:t>
      </w:r>
      <w:r w:rsidRPr="00146C3F">
        <w:t>rejeté</w:t>
      </w:r>
      <w:r w:rsidRPr="00B02C78">
        <w:rPr>
          <w:lang w:val="fr-CA"/>
        </w:rPr>
        <w:t>.</w:t>
      </w:r>
    </w:p>
    <w:p w:rsidR="00E56B27" w:rsidRPr="00B02C78" w:rsidRDefault="00E56B27" w:rsidP="00A12DA1">
      <w:pPr>
        <w:pStyle w:val="SCCNormalDoubleSpacing"/>
        <w:tabs>
          <w:tab w:val="left" w:pos="1170"/>
        </w:tabs>
        <w:spacing w:after="480"/>
        <w:rPr>
          <w:lang w:val="fr-CA"/>
        </w:rPr>
      </w:pPr>
    </w:p>
    <w:p w:rsidR="001B18CF" w:rsidRPr="00B02C78" w:rsidRDefault="001B18CF" w:rsidP="00573926">
      <w:pPr>
        <w:pStyle w:val="SCCNormalDoubleSpacing"/>
        <w:spacing w:after="480"/>
        <w:rPr>
          <w:lang w:val="fr-CA"/>
        </w:rPr>
      </w:pPr>
      <w:r w:rsidRPr="00B02C78">
        <w:rPr>
          <w:lang w:val="fr-CA"/>
        </w:rPr>
        <w:tab/>
      </w:r>
      <w:r w:rsidR="003332C7" w:rsidRPr="00B02C78">
        <w:rPr>
          <w:i/>
          <w:lang w:val="fr-CA"/>
        </w:rPr>
        <w:t>Jugement en conséquence.</w:t>
      </w:r>
    </w:p>
    <w:p w:rsidR="001B18CF" w:rsidRPr="00B02C78" w:rsidRDefault="000C37B5" w:rsidP="000C37B5">
      <w:pPr>
        <w:pStyle w:val="SCCLawFirm"/>
        <w:tabs>
          <w:tab w:val="left" w:pos="810"/>
        </w:tabs>
        <w:spacing w:after="480"/>
        <w:rPr>
          <w:lang w:val="fr-CA"/>
        </w:rPr>
      </w:pPr>
      <w:r>
        <w:rPr>
          <w:lang w:val="fr-CA"/>
        </w:rPr>
        <w:tab/>
      </w:r>
      <w:r w:rsidR="004E0552" w:rsidRPr="00B02C78">
        <w:rPr>
          <w:lang w:val="fr-CA"/>
        </w:rPr>
        <w:t>Procureurs de l’appelant :</w:t>
      </w:r>
      <w:r w:rsidR="001B18CF" w:rsidRPr="00B02C78">
        <w:rPr>
          <w:lang w:val="fr-CA"/>
        </w:rPr>
        <w:t> </w:t>
      </w:r>
      <w:proofErr w:type="spellStart"/>
      <w:r w:rsidR="001B18CF" w:rsidRPr="00B02C78">
        <w:rPr>
          <w:lang w:val="fr-CA"/>
        </w:rPr>
        <w:t>Rusonik</w:t>
      </w:r>
      <w:proofErr w:type="spellEnd"/>
      <w:r w:rsidR="001B18CF" w:rsidRPr="00B02C78">
        <w:rPr>
          <w:lang w:val="fr-CA"/>
        </w:rPr>
        <w:t xml:space="preserve">, </w:t>
      </w:r>
      <w:proofErr w:type="spellStart"/>
      <w:r w:rsidR="001B18CF" w:rsidRPr="00B02C78">
        <w:rPr>
          <w:lang w:val="fr-CA"/>
        </w:rPr>
        <w:t>O’Connor</w:t>
      </w:r>
      <w:proofErr w:type="spellEnd"/>
      <w:r w:rsidR="001B18CF" w:rsidRPr="00B02C78">
        <w:rPr>
          <w:lang w:val="fr-CA"/>
        </w:rPr>
        <w:t xml:space="preserve">, Robbins, Ross, </w:t>
      </w:r>
      <w:proofErr w:type="spellStart"/>
      <w:r w:rsidR="001B18CF" w:rsidRPr="00B02C78">
        <w:rPr>
          <w:lang w:val="fr-CA"/>
        </w:rPr>
        <w:t>Gorham</w:t>
      </w:r>
      <w:proofErr w:type="spellEnd"/>
      <w:r w:rsidR="001B18CF" w:rsidRPr="00B02C78">
        <w:rPr>
          <w:lang w:val="fr-CA"/>
        </w:rPr>
        <w:t xml:space="preserve"> </w:t>
      </w:r>
      <w:r w:rsidR="00CF7907" w:rsidRPr="00B02C78">
        <w:rPr>
          <w:lang w:val="fr-CA"/>
        </w:rPr>
        <w:t xml:space="preserve">&amp; </w:t>
      </w:r>
      <w:proofErr w:type="spellStart"/>
      <w:r w:rsidR="001B18CF" w:rsidRPr="00B02C78">
        <w:rPr>
          <w:lang w:val="fr-CA"/>
        </w:rPr>
        <w:t>Angelini</w:t>
      </w:r>
      <w:proofErr w:type="spellEnd"/>
      <w:r w:rsidR="001B18CF" w:rsidRPr="00B02C78">
        <w:rPr>
          <w:lang w:val="fr-CA"/>
        </w:rPr>
        <w:t>, Toronto.</w:t>
      </w:r>
    </w:p>
    <w:p w:rsidR="00E56B27" w:rsidRPr="00B02C78" w:rsidRDefault="001B18CF" w:rsidP="00573926">
      <w:pPr>
        <w:pStyle w:val="SCCLawFirm"/>
        <w:rPr>
          <w:lang w:val="fr-CA"/>
        </w:rPr>
      </w:pPr>
      <w:r w:rsidRPr="00B02C78">
        <w:rPr>
          <w:lang w:val="fr-CA"/>
        </w:rPr>
        <w:tab/>
      </w:r>
      <w:r w:rsidR="004E0552" w:rsidRPr="00B02C78">
        <w:rPr>
          <w:lang w:val="fr-CA"/>
        </w:rPr>
        <w:t>Procureur de l’intimée :</w:t>
      </w:r>
      <w:r w:rsidRPr="00B02C78">
        <w:rPr>
          <w:lang w:val="fr-CA"/>
        </w:rPr>
        <w:t> </w:t>
      </w:r>
      <w:r w:rsidR="00844232" w:rsidRPr="00B02C78">
        <w:rPr>
          <w:lang w:val="fr-CA"/>
        </w:rPr>
        <w:t>Procureur général de l’Ontario</w:t>
      </w:r>
      <w:r w:rsidRPr="00B02C78">
        <w:rPr>
          <w:lang w:val="fr-CA"/>
        </w:rPr>
        <w:t xml:space="preserve">, Toronto. </w:t>
      </w:r>
    </w:p>
    <w:sectPr w:rsidR="00E56B27" w:rsidRPr="00B02C78" w:rsidSect="000C37B5">
      <w:headerReference w:type="default" r:id="rId10"/>
      <w:pgSz w:w="12240" w:h="15840"/>
      <w:pgMar w:top="1267" w:right="2160" w:bottom="720" w:left="1800" w:header="180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013" w:rsidRDefault="000D5013" w:rsidP="00D72765">
      <w:r>
        <w:separator/>
      </w:r>
    </w:p>
  </w:endnote>
  <w:endnote w:type="continuationSeparator" w:id="0">
    <w:p w:rsidR="000D5013" w:rsidRDefault="000D5013" w:rsidP="00D7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013" w:rsidRDefault="000D5013" w:rsidP="00D72765">
      <w:r>
        <w:separator/>
      </w:r>
    </w:p>
  </w:footnote>
  <w:footnote w:type="continuationSeparator" w:id="0">
    <w:p w:rsidR="000D5013" w:rsidRDefault="000D5013" w:rsidP="00D72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4456"/>
      <w:docPartObj>
        <w:docPartGallery w:val="Page Numbers (Top of Page)"/>
        <w:docPartUnique/>
      </w:docPartObj>
    </w:sdtPr>
    <w:sdtContent>
      <w:p w:rsidR="000C37B5" w:rsidRDefault="000C37B5">
        <w:pPr>
          <w:pStyle w:val="Header"/>
          <w:jc w:val="center"/>
        </w:pPr>
        <w:r>
          <w:t xml:space="preserve">- </w:t>
        </w:r>
        <w:fldSimple w:instr=" PAGE   \* MERGEFORMAT ">
          <w:r w:rsidR="00307F96">
            <w:rPr>
              <w:noProof/>
            </w:rPr>
            <w:t>2</w:t>
          </w:r>
        </w:fldSimple>
        <w:r>
          <w:t xml:space="preserve"> -</w:t>
        </w:r>
      </w:p>
    </w:sdtContent>
  </w:sdt>
  <w:p w:rsidR="000C37B5" w:rsidRDefault="000C3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FE2"/>
    <w:multiLevelType w:val="hybridMultilevel"/>
    <w:tmpl w:val="0B76EEBC"/>
    <w:lvl w:ilvl="0" w:tplc="434646E8">
      <w:start w:val="1"/>
      <w:numFmt w:val="decimal"/>
      <w:pStyle w:val="ReasonsNumbering-AltN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1"/>
  <w:stylePaneSortMethod w:val="0004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B18CF"/>
    <w:rsid w:val="000656D9"/>
    <w:rsid w:val="00075DF8"/>
    <w:rsid w:val="000B6DCB"/>
    <w:rsid w:val="000C2D8D"/>
    <w:rsid w:val="000C37B5"/>
    <w:rsid w:val="000D5013"/>
    <w:rsid w:val="00100F78"/>
    <w:rsid w:val="001113EC"/>
    <w:rsid w:val="00146C3F"/>
    <w:rsid w:val="00166363"/>
    <w:rsid w:val="00195B77"/>
    <w:rsid w:val="001B18CF"/>
    <w:rsid w:val="001D15DF"/>
    <w:rsid w:val="001D2C18"/>
    <w:rsid w:val="0021542E"/>
    <w:rsid w:val="00265300"/>
    <w:rsid w:val="002717C3"/>
    <w:rsid w:val="002A1C62"/>
    <w:rsid w:val="002C52EC"/>
    <w:rsid w:val="002D58E3"/>
    <w:rsid w:val="00307F96"/>
    <w:rsid w:val="003332C7"/>
    <w:rsid w:val="0038290B"/>
    <w:rsid w:val="00422319"/>
    <w:rsid w:val="00424DBB"/>
    <w:rsid w:val="00477C40"/>
    <w:rsid w:val="004A5FCF"/>
    <w:rsid w:val="004C03A2"/>
    <w:rsid w:val="004E0552"/>
    <w:rsid w:val="0050303D"/>
    <w:rsid w:val="00537AB5"/>
    <w:rsid w:val="00573926"/>
    <w:rsid w:val="005A73A9"/>
    <w:rsid w:val="005C381E"/>
    <w:rsid w:val="00602686"/>
    <w:rsid w:val="006302A7"/>
    <w:rsid w:val="006875B3"/>
    <w:rsid w:val="006947EE"/>
    <w:rsid w:val="006B20FB"/>
    <w:rsid w:val="006E4C6E"/>
    <w:rsid w:val="00725CA9"/>
    <w:rsid w:val="007F0B68"/>
    <w:rsid w:val="00842B33"/>
    <w:rsid w:val="00844232"/>
    <w:rsid w:val="00862015"/>
    <w:rsid w:val="0089016F"/>
    <w:rsid w:val="00965149"/>
    <w:rsid w:val="009A2184"/>
    <w:rsid w:val="009D3825"/>
    <w:rsid w:val="00A12DA1"/>
    <w:rsid w:val="00AA3B8B"/>
    <w:rsid w:val="00AC7E97"/>
    <w:rsid w:val="00AD6E6C"/>
    <w:rsid w:val="00AE536A"/>
    <w:rsid w:val="00B02C78"/>
    <w:rsid w:val="00B25DA6"/>
    <w:rsid w:val="00B36595"/>
    <w:rsid w:val="00B85B8F"/>
    <w:rsid w:val="00BC2A54"/>
    <w:rsid w:val="00C34DD8"/>
    <w:rsid w:val="00C432BD"/>
    <w:rsid w:val="00C51A6C"/>
    <w:rsid w:val="00C573DF"/>
    <w:rsid w:val="00CC3C78"/>
    <w:rsid w:val="00CF7907"/>
    <w:rsid w:val="00D72765"/>
    <w:rsid w:val="00D772FC"/>
    <w:rsid w:val="00E56B27"/>
    <w:rsid w:val="00EC5E94"/>
    <w:rsid w:val="00ED5443"/>
    <w:rsid w:val="00F876DF"/>
    <w:rsid w:val="00FB3F1C"/>
    <w:rsid w:val="00FC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CNormalDoubleSpacing">
    <w:name w:val="SCC.Normal.DoubleSpacing"/>
    <w:basedOn w:val="Normal"/>
    <w:link w:val="SCCNormalDoubleSpacingChar"/>
    <w:rsid w:val="001B18CF"/>
    <w:pPr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B18CF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B1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8CF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SCCLsocParty">
    <w:name w:val="SCC.Lsoc.Party"/>
    <w:basedOn w:val="Normal"/>
    <w:next w:val="Normal"/>
    <w:link w:val="SCCLsocPartyChar"/>
    <w:rsid w:val="001B18CF"/>
    <w:pPr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1B18CF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socVersus">
    <w:name w:val="SCC.Lsoc.Versus"/>
    <w:basedOn w:val="Normal"/>
    <w:next w:val="Normal"/>
    <w:link w:val="SCCLsocVersusChar"/>
    <w:rsid w:val="001B18CF"/>
    <w:rPr>
      <w:i/>
    </w:rPr>
  </w:style>
  <w:style w:type="character" w:customStyle="1" w:styleId="SCCLsocVersusChar">
    <w:name w:val="SCC.Lsoc.Versus Char"/>
    <w:basedOn w:val="DefaultParagraphFont"/>
    <w:link w:val="SCCLsocVersus"/>
    <w:rsid w:val="001B18CF"/>
    <w:rPr>
      <w:rFonts w:ascii="Times New Roman" w:eastAsia="Times New Roman" w:hAnsi="Times New Roman" w:cs="Times New Roman"/>
      <w:i/>
      <w:sz w:val="24"/>
      <w:szCs w:val="20"/>
      <w:lang w:val="en-CA" w:eastAsia="en-CA"/>
    </w:rPr>
  </w:style>
  <w:style w:type="paragraph" w:customStyle="1" w:styleId="SCCSystemYear">
    <w:name w:val="SCC.SystemYear"/>
    <w:basedOn w:val="Normal"/>
    <w:next w:val="Normal"/>
    <w:link w:val="SCCSystemYearChar"/>
    <w:rsid w:val="001B18CF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B18CF"/>
    <w:rPr>
      <w:rFonts w:ascii="Times New Roman" w:eastAsia="Times New Roman" w:hAnsi="Times New Roman" w:cs="Times New Roman"/>
      <w:b/>
      <w:sz w:val="24"/>
      <w:szCs w:val="20"/>
      <w:lang w:val="en-CA" w:eastAsia="en-CA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1B18CF"/>
    <w:rPr>
      <w:i/>
    </w:rPr>
  </w:style>
  <w:style w:type="character" w:customStyle="1" w:styleId="SCCLawFirmChar">
    <w:name w:val="SCC.LawFirm Char"/>
    <w:basedOn w:val="SCCNormalDoubleSpacingChar"/>
    <w:link w:val="SCCLawFirm"/>
    <w:rsid w:val="001B18CF"/>
    <w:rPr>
      <w:i/>
    </w:rPr>
  </w:style>
  <w:style w:type="paragraph" w:styleId="Footer">
    <w:name w:val="footer"/>
    <w:basedOn w:val="Normal"/>
    <w:link w:val="FooterChar"/>
    <w:uiPriority w:val="99"/>
    <w:semiHidden/>
    <w:unhideWhenUsed/>
    <w:rsid w:val="00CF79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907"/>
    <w:rPr>
      <w:rFonts w:ascii="Times New Roman" w:eastAsia="Times New Roman" w:hAnsi="Times New Roman" w:cs="Times New Roman"/>
      <w:sz w:val="24"/>
      <w:szCs w:val="20"/>
      <w:lang w:val="en-CA" w:eastAsia="en-CA"/>
    </w:rPr>
  </w:style>
  <w:style w:type="paragraph" w:customStyle="1" w:styleId="ReasonsNumbering-AltN">
    <w:name w:val="Reasons Numbering - Alt N"/>
    <w:qFormat/>
    <w:rsid w:val="00146C3F"/>
    <w:pPr>
      <w:numPr>
        <w:numId w:val="1"/>
      </w:numPr>
      <w:tabs>
        <w:tab w:val="left" w:pos="1152"/>
      </w:tabs>
      <w:spacing w:after="480" w:line="480" w:lineRule="auto"/>
      <w:jc w:val="both"/>
    </w:pPr>
    <w:rPr>
      <w:rFonts w:ascii="Times New Roman" w:hAnsi="Times New Roman"/>
      <w:sz w:val="24"/>
      <w:lang w:val="en-CA"/>
    </w:rPr>
  </w:style>
  <w:style w:type="table" w:styleId="TableGrid">
    <w:name w:val="Table Grid"/>
    <w:basedOn w:val="TableNormal"/>
    <w:uiPriority w:val="59"/>
    <w:rsid w:val="00307F96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CCLsocPartyRole">
    <w:name w:val="SCC.Lsoc.PartyRole"/>
    <w:basedOn w:val="Normal"/>
    <w:next w:val="Normal"/>
    <w:link w:val="SCCLsocPartyRoleChar"/>
    <w:rsid w:val="00307F96"/>
    <w:pPr>
      <w:jc w:val="center"/>
    </w:pPr>
    <w:rPr>
      <w:rFonts w:eastAsiaTheme="minorHAnsi" w:cstheme="minorBidi"/>
      <w:szCs w:val="24"/>
      <w:lang w:val="fr-CA" w:eastAsia="en-US"/>
    </w:rPr>
  </w:style>
  <w:style w:type="character" w:customStyle="1" w:styleId="SCCLsocPartyRoleChar">
    <w:name w:val="SCC.Lsoc.PartyRole Char"/>
    <w:basedOn w:val="DefaultParagraphFont"/>
    <w:link w:val="SCCLsocPartyRole"/>
    <w:rsid w:val="00307F96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307F96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307F96"/>
    <w:rPr>
      <w:rFonts w:ascii="Times New Roman" w:hAnsi="Times New Roman"/>
      <w:b/>
      <w:smallCaps/>
      <w:sz w:val="24"/>
      <w:szCs w:val="24"/>
      <w:lang w:val="fr-CA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307F96"/>
    <w:rPr>
      <w:b/>
      <w:lang w:val="fr-CA"/>
    </w:rPr>
  </w:style>
  <w:style w:type="character" w:customStyle="1" w:styleId="SCCAppellantForIndexChar">
    <w:name w:val="SCC.AppellantForIndex Char"/>
    <w:basedOn w:val="DefaultParagraphFont"/>
    <w:link w:val="SCCAppellantForIndex"/>
    <w:rsid w:val="00307F96"/>
    <w:rPr>
      <w:rFonts w:ascii="Times New Roman" w:eastAsia="Times New Roman" w:hAnsi="Times New Roman" w:cs="Times New Roman"/>
      <w:b/>
      <w:sz w:val="24"/>
      <w:szCs w:val="20"/>
      <w:lang w:val="fr-CA" w:eastAsia="en-CA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307F96"/>
    <w:rPr>
      <w:b/>
      <w:lang w:val="fr-CA"/>
    </w:rPr>
  </w:style>
  <w:style w:type="character" w:customStyle="1" w:styleId="SCCRespondentForIndexChar">
    <w:name w:val="SCC.RespondentForIndex Char"/>
    <w:basedOn w:val="DefaultParagraphFont"/>
    <w:link w:val="SCCRespondentForIndex"/>
    <w:rsid w:val="00307F96"/>
    <w:rPr>
      <w:rFonts w:ascii="Times New Roman" w:eastAsia="Times New Roman" w:hAnsi="Times New Roman" w:cs="Times New Roman"/>
      <w:b/>
      <w:sz w:val="24"/>
      <w:szCs w:val="20"/>
      <w:lang w:val="fr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598B-BD80-4DF6-A548-D65703CD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2011-11-25T19:51:00Z</dcterms:created>
  <dcterms:modified xsi:type="dcterms:W3CDTF">2012-02-20T17:39:00Z</dcterms:modified>
</cp:coreProperties>
</file>