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18" w:rsidRDefault="00145B18" w:rsidP="00145B1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391240904" r:id="rId8"/>
        </w:object>
      </w:r>
      <w:r>
        <w:t xml:space="preserve"> </w:t>
      </w:r>
      <w:r>
        <w:ptab w:relativeTo="margin" w:alignment="right" w:leader="none"/>
      </w:r>
    </w:p>
    <w:p w:rsidR="00145B18" w:rsidRDefault="00145B18" w:rsidP="00145B18">
      <w:pPr>
        <w:pStyle w:val="Header"/>
      </w:pPr>
    </w:p>
    <w:p w:rsidR="00145B18" w:rsidRPr="001E12E2" w:rsidRDefault="00145B18" w:rsidP="00145B18">
      <w:pPr>
        <w:jc w:val="center"/>
        <w:rPr>
          <w:b/>
        </w:rPr>
      </w:pPr>
      <w:r w:rsidRPr="001E12E2">
        <w:rPr>
          <w:b/>
        </w:rPr>
        <w:t>COUR SUPRÊME DU CANADA</w:t>
      </w:r>
    </w:p>
    <w:p w:rsidR="00145B18" w:rsidRDefault="00145B18" w:rsidP="00145B18">
      <w:pPr>
        <w:pStyle w:val="Heade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45B18" w:rsidRPr="001E12E2" w:rsidTr="00342FDD">
        <w:trPr>
          <w:cantSplit/>
        </w:trPr>
        <w:tc>
          <w:tcPr>
            <w:tcW w:w="6768" w:type="dxa"/>
          </w:tcPr>
          <w:p w:rsidR="00145B18" w:rsidRPr="00145B18" w:rsidRDefault="00145B18" w:rsidP="00342FDD">
            <w:pPr>
              <w:rPr>
                <w:lang w:val="fr-CA"/>
              </w:rPr>
            </w:pPr>
            <w:r w:rsidRPr="00145B18">
              <w:rPr>
                <w:b/>
                <w:smallCaps/>
                <w:lang w:val="fr-CA"/>
              </w:rPr>
              <w:t xml:space="preserve">Référence </w:t>
            </w:r>
            <w:proofErr w:type="gramStart"/>
            <w:r w:rsidRPr="00145B18">
              <w:rPr>
                <w:b/>
                <w:lang w:val="fr-CA"/>
              </w:rPr>
              <w:t xml:space="preserve">:  </w:t>
            </w:r>
            <w:r w:rsidRPr="00145B18">
              <w:rPr>
                <w:rStyle w:val="SCCAppellantForIndexChar"/>
                <w:rFonts w:eastAsiaTheme="minorHAnsi"/>
                <w:b w:val="0"/>
              </w:rPr>
              <w:t>R</w:t>
            </w:r>
            <w:proofErr w:type="gramEnd"/>
            <w:r w:rsidRPr="00145B18">
              <w:rPr>
                <w:rStyle w:val="SCCAppellantForIndexChar"/>
                <w:rFonts w:eastAsiaTheme="minorHAnsi"/>
                <w:b w:val="0"/>
              </w:rPr>
              <w:t>.</w:t>
            </w:r>
            <w:r w:rsidRPr="00145B18">
              <w:rPr>
                <w:b/>
                <w:lang w:val="fr-CA"/>
              </w:rPr>
              <w:t xml:space="preserve"> </w:t>
            </w:r>
            <w:r w:rsidRPr="00145B18">
              <w:rPr>
                <w:i/>
                <w:lang w:val="fr-CA"/>
              </w:rPr>
              <w:t>c.</w:t>
            </w:r>
            <w:r w:rsidRPr="00145B18">
              <w:rPr>
                <w:b/>
                <w:lang w:val="fr-CA"/>
              </w:rPr>
              <w:t xml:space="preserve"> </w:t>
            </w:r>
            <w:proofErr w:type="spellStart"/>
            <w:r w:rsidRPr="00145B18">
              <w:rPr>
                <w:lang w:val="fr-CA"/>
              </w:rPr>
              <w:t>Dorfer</w:t>
            </w:r>
            <w:proofErr w:type="spellEnd"/>
            <w:r w:rsidRPr="00145B18">
              <w:rPr>
                <w:rStyle w:val="SCCRespondentForIndexChar"/>
                <w:rFonts w:eastAsiaTheme="minorHAnsi"/>
                <w:b w:val="0"/>
              </w:rPr>
              <w:t>, 2011 CSC 50, [2011] 3 R.C.S. 366</w:t>
            </w:r>
          </w:p>
        </w:tc>
        <w:tc>
          <w:tcPr>
            <w:tcW w:w="2808" w:type="dxa"/>
          </w:tcPr>
          <w:p w:rsidR="00145B18" w:rsidRPr="001E12E2" w:rsidRDefault="00145B18" w:rsidP="00342FDD">
            <w:r w:rsidRPr="001E12E2">
              <w:rPr>
                <w:b/>
                <w:smallCaps/>
              </w:rPr>
              <w:t xml:space="preserve">Date </w:t>
            </w:r>
            <w:r w:rsidRPr="001E12E2">
              <w:t xml:space="preserve">: </w:t>
            </w:r>
            <w:r>
              <w:t>20111021</w:t>
            </w:r>
          </w:p>
          <w:p w:rsidR="00145B18" w:rsidRPr="001E12E2" w:rsidRDefault="00145B18" w:rsidP="00342FDD">
            <w:r w:rsidRPr="001E12E2">
              <w:rPr>
                <w:b/>
                <w:smallCaps/>
              </w:rPr>
              <w:t>Do</w:t>
            </w:r>
            <w:r>
              <w:rPr>
                <w:b/>
                <w:smallCaps/>
              </w:rPr>
              <w:t>ssier</w:t>
            </w:r>
            <w:r w:rsidRPr="001E12E2">
              <w:rPr>
                <w:b/>
                <w:smallCaps/>
              </w:rPr>
              <w:t xml:space="preserve"> </w:t>
            </w:r>
            <w:r w:rsidRPr="001E12E2">
              <w:t xml:space="preserve">: </w:t>
            </w:r>
            <w:r>
              <w:t>33952</w:t>
            </w:r>
          </w:p>
        </w:tc>
      </w:tr>
    </w:tbl>
    <w:p w:rsidR="00145B18" w:rsidRPr="001E12E2" w:rsidRDefault="00145B18" w:rsidP="00145B18"/>
    <w:p w:rsidR="00145B18" w:rsidRDefault="00145B18" w:rsidP="00145B18">
      <w:pPr>
        <w:pStyle w:val="SCCLsocPrefix"/>
      </w:pPr>
      <w:r>
        <w:t>Entre :</w:t>
      </w:r>
    </w:p>
    <w:p w:rsidR="00145B18" w:rsidRDefault="00145B18" w:rsidP="00145B18">
      <w:pPr>
        <w:pStyle w:val="SCCLsocParty"/>
      </w:pPr>
      <w:r>
        <w:t xml:space="preserve">Franklin Shane </w:t>
      </w:r>
      <w:proofErr w:type="spellStart"/>
      <w:r>
        <w:t>Dorfer</w:t>
      </w:r>
      <w:proofErr w:type="spellEnd"/>
    </w:p>
    <w:p w:rsidR="00145B18" w:rsidRDefault="00145B18" w:rsidP="00145B18">
      <w:pPr>
        <w:pStyle w:val="SCCLsocPartyRole"/>
      </w:pPr>
      <w:r>
        <w:t>Appelant</w:t>
      </w:r>
    </w:p>
    <w:p w:rsidR="00145B18" w:rsidRDefault="00145B18" w:rsidP="00145B18">
      <w:pPr>
        <w:pStyle w:val="SCCLsocVersus"/>
      </w:pPr>
      <w:proofErr w:type="gramStart"/>
      <w:r>
        <w:t>et</w:t>
      </w:r>
      <w:proofErr w:type="gramEnd"/>
    </w:p>
    <w:p w:rsidR="00145B18" w:rsidRDefault="00145B18" w:rsidP="00145B18">
      <w:pPr>
        <w:pStyle w:val="SCCLsocParty"/>
      </w:pPr>
      <w:r>
        <w:t xml:space="preserve">Sa </w:t>
      </w:r>
      <w:proofErr w:type="spellStart"/>
      <w:r>
        <w:t>Majesté</w:t>
      </w:r>
      <w:proofErr w:type="spellEnd"/>
      <w:r>
        <w:t xml:space="preserve"> la </w:t>
      </w:r>
      <w:proofErr w:type="spellStart"/>
      <w:r>
        <w:t>Reine</w:t>
      </w:r>
      <w:proofErr w:type="spellEnd"/>
    </w:p>
    <w:p w:rsidR="00145B18" w:rsidRDefault="00145B18" w:rsidP="00145B18">
      <w:pPr>
        <w:pStyle w:val="SCCLsocPartyRole"/>
      </w:pPr>
      <w:r>
        <w:t>Intimée</w:t>
      </w:r>
    </w:p>
    <w:p w:rsidR="00145B18" w:rsidRDefault="00145B18" w:rsidP="00145B18"/>
    <w:p w:rsidR="00145B18" w:rsidRPr="001E12E2" w:rsidRDefault="00145B18" w:rsidP="00145B18">
      <w:pPr>
        <w:jc w:val="center"/>
        <w:rPr>
          <w:b/>
          <w:smallCaps/>
        </w:rPr>
      </w:pPr>
      <w:proofErr w:type="spellStart"/>
      <w:r>
        <w:rPr>
          <w:b/>
          <w:smallCaps/>
        </w:rPr>
        <w:t>Traduction</w:t>
      </w:r>
      <w:proofErr w:type="spellEnd"/>
      <w:r>
        <w:rPr>
          <w:b/>
          <w:smallCaps/>
        </w:rPr>
        <w:t xml:space="preserve"> </w:t>
      </w:r>
      <w:proofErr w:type="spellStart"/>
      <w:r>
        <w:rPr>
          <w:b/>
          <w:smallCaps/>
        </w:rPr>
        <w:t>française</w:t>
      </w:r>
      <w:proofErr w:type="spellEnd"/>
      <w:r>
        <w:rPr>
          <w:b/>
          <w:smallCaps/>
        </w:rPr>
        <w:t xml:space="preserve"> </w:t>
      </w:r>
      <w:proofErr w:type="spellStart"/>
      <w:r>
        <w:rPr>
          <w:b/>
          <w:smallCaps/>
        </w:rPr>
        <w:t>o</w:t>
      </w:r>
      <w:r w:rsidRPr="001E12E2">
        <w:rPr>
          <w:b/>
          <w:smallCaps/>
        </w:rPr>
        <w:t>ffici</w:t>
      </w:r>
      <w:r>
        <w:rPr>
          <w:b/>
          <w:smallCaps/>
        </w:rPr>
        <w:t>elle</w:t>
      </w:r>
      <w:proofErr w:type="spellEnd"/>
    </w:p>
    <w:p w:rsidR="00145B18" w:rsidRPr="001E12E2" w:rsidRDefault="00145B18" w:rsidP="00145B18"/>
    <w:p w:rsidR="00145B18" w:rsidRPr="00145B18" w:rsidRDefault="00145B18" w:rsidP="00145B18">
      <w:pPr>
        <w:rPr>
          <w:lang w:val="fr-CA"/>
        </w:rPr>
      </w:pPr>
      <w:r w:rsidRPr="00145B18">
        <w:rPr>
          <w:b/>
          <w:smallCaps/>
          <w:lang w:val="fr-CA"/>
        </w:rPr>
        <w:t xml:space="preserve">Coram </w:t>
      </w:r>
      <w:r w:rsidRPr="00145B18">
        <w:rPr>
          <w:b/>
          <w:lang w:val="fr-CA"/>
        </w:rPr>
        <w:t>:</w:t>
      </w:r>
      <w:r w:rsidRPr="00145B18">
        <w:rPr>
          <w:lang w:val="fr-CA"/>
        </w:rPr>
        <w:t xml:space="preserve"> La juge en chef McLachlin et les juges LeBel, Fish, Rothstein et Cromwell</w:t>
      </w:r>
    </w:p>
    <w:p w:rsidR="00145B18" w:rsidRPr="00145B18" w:rsidRDefault="00145B18" w:rsidP="00145B18">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45B18" w:rsidRPr="00145B18" w:rsidTr="00342FDD">
        <w:trPr>
          <w:cantSplit/>
        </w:trPr>
        <w:tc>
          <w:tcPr>
            <w:tcW w:w="3618" w:type="dxa"/>
          </w:tcPr>
          <w:p w:rsidR="00145B18" w:rsidRPr="00145B18" w:rsidRDefault="00145B18" w:rsidP="00342FDD">
            <w:pPr>
              <w:rPr>
                <w:lang w:val="fr-CA"/>
              </w:rPr>
            </w:pPr>
            <w:r w:rsidRPr="00145B18">
              <w:rPr>
                <w:b/>
                <w:smallCaps/>
                <w:lang w:val="fr-CA"/>
              </w:rPr>
              <w:t>Motifs de jugement</w:t>
            </w:r>
            <w:r w:rsidRPr="00145B18">
              <w:rPr>
                <w:lang w:val="fr-CA"/>
              </w:rPr>
              <w:t xml:space="preserve"> :</w:t>
            </w:r>
          </w:p>
          <w:p w:rsidR="00145B18" w:rsidRPr="00145B18" w:rsidRDefault="00145B18" w:rsidP="00342FDD">
            <w:pPr>
              <w:rPr>
                <w:lang w:val="fr-CA"/>
              </w:rPr>
            </w:pPr>
            <w:r w:rsidRPr="00145B18">
              <w:rPr>
                <w:lang w:val="fr-CA"/>
              </w:rPr>
              <w:t>(par. 1)</w:t>
            </w:r>
          </w:p>
          <w:p w:rsidR="00145B18" w:rsidRPr="00145B18" w:rsidRDefault="00145B18" w:rsidP="00342FDD">
            <w:pPr>
              <w:rPr>
                <w:lang w:val="fr-CA"/>
              </w:rPr>
            </w:pPr>
          </w:p>
          <w:p w:rsidR="00145B18" w:rsidRPr="00145B18" w:rsidRDefault="00145B18" w:rsidP="00342FDD">
            <w:pPr>
              <w:rPr>
                <w:b/>
                <w:smallCaps/>
                <w:lang w:val="fr-CA"/>
              </w:rPr>
            </w:pPr>
            <w:r w:rsidRPr="00145B18">
              <w:rPr>
                <w:b/>
                <w:smallCaps/>
                <w:lang w:val="fr-CA"/>
              </w:rPr>
              <w:t>Motifs dissidents :</w:t>
            </w:r>
          </w:p>
          <w:p w:rsidR="00145B18" w:rsidRPr="007F4998" w:rsidRDefault="00145B18" w:rsidP="00342FDD">
            <w:r>
              <w:t>(par. 2)</w:t>
            </w:r>
          </w:p>
        </w:tc>
        <w:tc>
          <w:tcPr>
            <w:tcW w:w="5958" w:type="dxa"/>
          </w:tcPr>
          <w:p w:rsidR="00145B18" w:rsidRPr="00145B18" w:rsidRDefault="00145B18" w:rsidP="00342FDD">
            <w:pPr>
              <w:rPr>
                <w:lang w:val="fr-CA"/>
              </w:rPr>
            </w:pPr>
            <w:r w:rsidRPr="00145B18">
              <w:rPr>
                <w:lang w:val="fr-CA"/>
              </w:rPr>
              <w:t>La juge en chef McLachlin (avec l’accord des juges Rothstein et Cromwell)</w:t>
            </w:r>
          </w:p>
          <w:p w:rsidR="00145B18" w:rsidRPr="00145B18" w:rsidRDefault="00145B18" w:rsidP="00342FDD">
            <w:pPr>
              <w:rPr>
                <w:lang w:val="fr-CA"/>
              </w:rPr>
            </w:pPr>
          </w:p>
          <w:p w:rsidR="00145B18" w:rsidRPr="00145B18" w:rsidRDefault="00145B18" w:rsidP="00342FDD">
            <w:pPr>
              <w:rPr>
                <w:lang w:val="fr-CA"/>
              </w:rPr>
            </w:pPr>
            <w:r w:rsidRPr="00145B18">
              <w:rPr>
                <w:lang w:val="fr-CA"/>
              </w:rPr>
              <w:t>Le juge LeBel (avec l’accord du juge Fish)</w:t>
            </w:r>
          </w:p>
        </w:tc>
      </w:tr>
    </w:tbl>
    <w:p w:rsidR="00145B18" w:rsidRPr="00145B18" w:rsidRDefault="00145B18" w:rsidP="00145B18">
      <w:pPr>
        <w:rPr>
          <w:lang w:val="fr-CA"/>
        </w:rPr>
      </w:pPr>
      <w:r>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145B18" w:rsidRDefault="00145B18">
      <w:pPr>
        <w:rPr>
          <w:lang w:val="fr-CA"/>
        </w:rPr>
      </w:pPr>
      <w:r>
        <w:rPr>
          <w:lang w:val="fr-CA"/>
        </w:rPr>
        <w:br w:type="page"/>
      </w:r>
    </w:p>
    <w:p w:rsidR="00BC7999" w:rsidRPr="00E260E8" w:rsidRDefault="00E260E8" w:rsidP="00BC7999">
      <w:pPr>
        <w:spacing w:line="480" w:lineRule="auto"/>
        <w:jc w:val="both"/>
        <w:rPr>
          <w:smallCaps/>
          <w:lang w:val="fr-CA"/>
        </w:rPr>
      </w:pPr>
      <w:r w:rsidRPr="00E260E8">
        <w:rPr>
          <w:lang w:val="fr-CA"/>
        </w:rPr>
        <w:lastRenderedPageBreak/>
        <w:t xml:space="preserve">R. </w:t>
      </w:r>
      <w:r w:rsidRPr="00E260E8">
        <w:rPr>
          <w:i/>
          <w:lang w:val="fr-CA"/>
        </w:rPr>
        <w:t>c</w:t>
      </w:r>
      <w:r w:rsidRPr="00E260E8">
        <w:rPr>
          <w:lang w:val="fr-CA"/>
        </w:rPr>
        <w:t xml:space="preserve">. </w:t>
      </w:r>
      <w:proofErr w:type="spellStart"/>
      <w:r w:rsidRPr="00E260E8">
        <w:rPr>
          <w:lang w:val="fr-CA"/>
        </w:rPr>
        <w:t>Dorfer</w:t>
      </w:r>
      <w:proofErr w:type="spellEnd"/>
      <w:r>
        <w:rPr>
          <w:smallCaps/>
          <w:lang w:val="fr-CA"/>
        </w:rPr>
        <w:t xml:space="preserve">, </w:t>
      </w:r>
      <w:r w:rsidRPr="00E260E8">
        <w:rPr>
          <w:smallCaps/>
          <w:lang w:val="fr-CA"/>
        </w:rPr>
        <w:t xml:space="preserve">2011 CSC </w:t>
      </w:r>
      <w:r>
        <w:rPr>
          <w:smallCaps/>
          <w:lang w:val="fr-CA"/>
        </w:rPr>
        <w:t>50</w:t>
      </w:r>
      <w:r w:rsidRPr="00E260E8">
        <w:rPr>
          <w:smallCaps/>
          <w:lang w:val="fr-CA"/>
        </w:rPr>
        <w:t xml:space="preserve">, [2011] 3 R.C.S. </w:t>
      </w:r>
      <w:r>
        <w:rPr>
          <w:smallCaps/>
          <w:lang w:val="fr-CA"/>
        </w:rPr>
        <w:t>366</w:t>
      </w:r>
    </w:p>
    <w:p w:rsidR="00BC7999" w:rsidRPr="002E4C15" w:rsidRDefault="00BC7999" w:rsidP="00BC7999">
      <w:pPr>
        <w:spacing w:line="480" w:lineRule="auto"/>
        <w:jc w:val="both"/>
        <w:rPr>
          <w:smallCaps/>
          <w:lang w:val="fr-CA"/>
        </w:rPr>
      </w:pPr>
    </w:p>
    <w:p w:rsidR="00BC7999" w:rsidRPr="00ED5443" w:rsidRDefault="00BC7999" w:rsidP="00BC7999">
      <w:pPr>
        <w:pStyle w:val="SCCLsocParty"/>
        <w:tabs>
          <w:tab w:val="right" w:pos="8280"/>
        </w:tabs>
        <w:spacing w:line="480" w:lineRule="auto"/>
        <w:rPr>
          <w:lang w:val="fr-CA"/>
        </w:rPr>
      </w:pPr>
      <w:r>
        <w:rPr>
          <w:lang w:val="fr-CA"/>
        </w:rPr>
        <w:t>Franklin Shane Dorfer</w:t>
      </w:r>
      <w:r w:rsidRPr="00ED5443">
        <w:rPr>
          <w:lang w:val="fr-CA"/>
        </w:rPr>
        <w:tab/>
      </w:r>
      <w:r w:rsidRPr="00ED5443">
        <w:rPr>
          <w:b w:val="0"/>
          <w:i/>
          <w:lang w:val="fr-CA"/>
        </w:rPr>
        <w:t>Appelant</w:t>
      </w:r>
    </w:p>
    <w:p w:rsidR="00BC7999" w:rsidRPr="00ED5443" w:rsidRDefault="00BC7999" w:rsidP="00BC7999">
      <w:pPr>
        <w:pStyle w:val="SCCLsocParty"/>
        <w:tabs>
          <w:tab w:val="right" w:pos="8280"/>
        </w:tabs>
        <w:spacing w:line="480" w:lineRule="auto"/>
        <w:rPr>
          <w:lang w:val="fr-CA"/>
        </w:rPr>
      </w:pPr>
    </w:p>
    <w:p w:rsidR="00BC7999" w:rsidRPr="00ED5443" w:rsidRDefault="00BC7999" w:rsidP="00BC7999">
      <w:pPr>
        <w:pStyle w:val="SCCLsocVersus"/>
        <w:spacing w:line="480" w:lineRule="auto"/>
        <w:rPr>
          <w:lang w:val="fr-CA"/>
        </w:rPr>
      </w:pPr>
      <w:proofErr w:type="gramStart"/>
      <w:r w:rsidRPr="007F7CD3">
        <w:rPr>
          <w:lang w:val="fr-CA"/>
        </w:rPr>
        <w:t>c</w:t>
      </w:r>
      <w:proofErr w:type="gramEnd"/>
      <w:r w:rsidRPr="00ED5443">
        <w:rPr>
          <w:lang w:val="fr-CA"/>
        </w:rPr>
        <w:t>.</w:t>
      </w:r>
    </w:p>
    <w:p w:rsidR="00BC7999" w:rsidRPr="00ED5443" w:rsidRDefault="00BC7999" w:rsidP="00BC7999">
      <w:pPr>
        <w:pStyle w:val="SCCLsocVersus"/>
        <w:spacing w:line="480" w:lineRule="auto"/>
        <w:rPr>
          <w:lang w:val="fr-CA"/>
        </w:rPr>
      </w:pPr>
    </w:p>
    <w:p w:rsidR="00BC7999" w:rsidRPr="00ED5443" w:rsidRDefault="00BC7999" w:rsidP="00BC7999">
      <w:pPr>
        <w:pStyle w:val="SCCLsocParty"/>
        <w:tabs>
          <w:tab w:val="right" w:pos="8280"/>
        </w:tabs>
        <w:spacing w:line="480" w:lineRule="auto"/>
        <w:rPr>
          <w:lang w:val="fr-CA"/>
        </w:rPr>
      </w:pPr>
      <w:r w:rsidRPr="00ED5443">
        <w:rPr>
          <w:lang w:val="fr-CA"/>
        </w:rPr>
        <w:t>Sa Majesté la Reine</w:t>
      </w:r>
      <w:r w:rsidRPr="00ED5443">
        <w:rPr>
          <w:i/>
          <w:lang w:val="fr-CA"/>
        </w:rPr>
        <w:tab/>
      </w:r>
      <w:r w:rsidR="00C77091">
        <w:rPr>
          <w:b w:val="0"/>
          <w:i/>
          <w:lang w:val="fr-CA"/>
        </w:rPr>
        <w:t>I</w:t>
      </w:r>
      <w:r w:rsidRPr="00ED5443">
        <w:rPr>
          <w:b w:val="0"/>
          <w:i/>
          <w:lang w:val="fr-CA"/>
        </w:rPr>
        <w:t>ntimée</w:t>
      </w:r>
    </w:p>
    <w:p w:rsidR="00BC7999" w:rsidRPr="00ED5443" w:rsidRDefault="00BC7999" w:rsidP="00BC7999">
      <w:pPr>
        <w:spacing w:line="480" w:lineRule="auto"/>
        <w:jc w:val="both"/>
        <w:rPr>
          <w:lang w:val="fr-CA"/>
        </w:rPr>
      </w:pPr>
    </w:p>
    <w:p w:rsidR="00BC7999" w:rsidRPr="00ED5443" w:rsidRDefault="00BC7999" w:rsidP="00BC7999">
      <w:pPr>
        <w:spacing w:line="480" w:lineRule="auto"/>
        <w:jc w:val="both"/>
        <w:rPr>
          <w:b/>
          <w:lang w:val="fr-CA"/>
        </w:rPr>
      </w:pPr>
      <w:r w:rsidRPr="00ED5443">
        <w:rPr>
          <w:b/>
          <w:lang w:val="fr-CA"/>
        </w:rPr>
        <w:t>Répertorié : </w:t>
      </w:r>
      <w:r>
        <w:rPr>
          <w:b/>
          <w:lang w:val="fr-CA"/>
        </w:rPr>
        <w:t>R</w:t>
      </w:r>
      <w:r w:rsidRPr="00ED5443">
        <w:rPr>
          <w:b/>
          <w:lang w:val="fr-CA"/>
        </w:rPr>
        <w:t xml:space="preserve">. </w:t>
      </w:r>
      <w:r w:rsidRPr="000D5013">
        <w:rPr>
          <w:b/>
          <w:i/>
          <w:lang w:val="fr-CA"/>
        </w:rPr>
        <w:t>c</w:t>
      </w:r>
      <w:r w:rsidRPr="00ED5443">
        <w:rPr>
          <w:b/>
          <w:lang w:val="fr-CA"/>
        </w:rPr>
        <w:t xml:space="preserve">. </w:t>
      </w:r>
      <w:r w:rsidR="0010128C">
        <w:rPr>
          <w:b/>
          <w:lang w:val="fr-CA"/>
        </w:rPr>
        <w:t>Dorfer</w:t>
      </w:r>
    </w:p>
    <w:p w:rsidR="00BC7999" w:rsidRPr="00ED5443" w:rsidRDefault="00BC7999" w:rsidP="00BC7999">
      <w:pPr>
        <w:spacing w:line="480" w:lineRule="auto"/>
        <w:jc w:val="both"/>
        <w:rPr>
          <w:lang w:val="fr-CA"/>
        </w:rPr>
      </w:pPr>
    </w:p>
    <w:p w:rsidR="00BC7999" w:rsidRPr="00ED5443" w:rsidRDefault="00BC7999" w:rsidP="00BC7999">
      <w:pPr>
        <w:pStyle w:val="SCCSystemYear"/>
        <w:spacing w:line="480" w:lineRule="auto"/>
        <w:jc w:val="both"/>
        <w:rPr>
          <w:lang w:val="fr-CA"/>
        </w:rPr>
      </w:pPr>
      <w:r w:rsidRPr="00ED5443">
        <w:rPr>
          <w:lang w:val="fr-CA"/>
        </w:rPr>
        <w:t>2011 CSC </w:t>
      </w:r>
      <w:r w:rsidR="0010128C">
        <w:rPr>
          <w:lang w:val="fr-CA"/>
        </w:rPr>
        <w:t>50</w:t>
      </w:r>
    </w:p>
    <w:p w:rsidR="00BC7999" w:rsidRPr="00ED5443" w:rsidRDefault="00BC7999" w:rsidP="00BC7999">
      <w:pPr>
        <w:spacing w:line="480" w:lineRule="auto"/>
        <w:jc w:val="both"/>
        <w:rPr>
          <w:lang w:val="fr-CA"/>
        </w:rPr>
      </w:pPr>
    </w:p>
    <w:p w:rsidR="00BC7999" w:rsidRPr="00ED5443" w:rsidRDefault="00BC7999" w:rsidP="00BC7999">
      <w:pPr>
        <w:spacing w:line="480" w:lineRule="auto"/>
        <w:jc w:val="both"/>
        <w:rPr>
          <w:lang w:val="fr-CA"/>
        </w:rPr>
      </w:pPr>
      <w:r w:rsidRPr="00ED5443">
        <w:rPr>
          <w:lang w:val="fr-CA"/>
        </w:rPr>
        <w:t>N</w:t>
      </w:r>
      <w:r w:rsidRPr="00ED5443">
        <w:rPr>
          <w:vertAlign w:val="superscript"/>
          <w:lang w:val="fr-CA"/>
        </w:rPr>
        <w:t>o</w:t>
      </w:r>
      <w:r>
        <w:rPr>
          <w:lang w:val="fr-CA"/>
        </w:rPr>
        <w:t xml:space="preserve"> du greffe : 33952</w:t>
      </w:r>
      <w:r w:rsidRPr="00ED5443">
        <w:rPr>
          <w:lang w:val="fr-CA"/>
        </w:rPr>
        <w:t>.</w:t>
      </w:r>
    </w:p>
    <w:p w:rsidR="00BC7999" w:rsidRPr="00ED5443" w:rsidRDefault="00BC7999" w:rsidP="00BC7999">
      <w:pPr>
        <w:spacing w:line="480" w:lineRule="auto"/>
        <w:jc w:val="both"/>
        <w:rPr>
          <w:lang w:val="fr-CA"/>
        </w:rPr>
      </w:pPr>
    </w:p>
    <w:p w:rsidR="00BC7999" w:rsidRPr="00ED5443" w:rsidRDefault="0045503C" w:rsidP="00BC7999">
      <w:pPr>
        <w:spacing w:line="480" w:lineRule="auto"/>
        <w:jc w:val="both"/>
        <w:rPr>
          <w:lang w:val="fr-CA"/>
        </w:rPr>
      </w:pPr>
      <w:r>
        <w:rPr>
          <w:lang w:val="fr-CA"/>
        </w:rPr>
        <w:t>2011</w:t>
      </w:r>
      <w:r w:rsidR="00A36DCA">
        <w:rPr>
          <w:lang w:val="fr-CA"/>
        </w:rPr>
        <w:t> </w:t>
      </w:r>
      <w:r>
        <w:rPr>
          <w:lang w:val="fr-CA"/>
        </w:rPr>
        <w:t>: 21</w:t>
      </w:r>
      <w:r w:rsidR="00BC7999" w:rsidRPr="00ED5443">
        <w:rPr>
          <w:lang w:val="fr-CA"/>
        </w:rPr>
        <w:t xml:space="preserve"> octobre.</w:t>
      </w:r>
    </w:p>
    <w:p w:rsidR="00BC7999" w:rsidRPr="00ED5443" w:rsidRDefault="00BC7999" w:rsidP="00BC7999">
      <w:pPr>
        <w:spacing w:line="480" w:lineRule="auto"/>
        <w:jc w:val="both"/>
        <w:rPr>
          <w:lang w:val="fr-CA"/>
        </w:rPr>
      </w:pPr>
    </w:p>
    <w:p w:rsidR="00BC7999" w:rsidRPr="00ED5443" w:rsidRDefault="00BC7999" w:rsidP="00BC7999">
      <w:pPr>
        <w:spacing w:line="480" w:lineRule="auto"/>
        <w:jc w:val="both"/>
        <w:rPr>
          <w:lang w:val="fr-CA"/>
        </w:rPr>
      </w:pPr>
      <w:r w:rsidRPr="00ED5443">
        <w:rPr>
          <w:lang w:val="fr-CA"/>
        </w:rPr>
        <w:t>Présents : </w:t>
      </w:r>
      <w:r w:rsidR="0045503C">
        <w:rPr>
          <w:lang w:val="fr-CA"/>
        </w:rPr>
        <w:t xml:space="preserve">La juge en chef </w:t>
      </w:r>
      <w:proofErr w:type="spellStart"/>
      <w:r w:rsidR="0045503C">
        <w:rPr>
          <w:lang w:val="fr-CA"/>
        </w:rPr>
        <w:t>McLachlin</w:t>
      </w:r>
      <w:proofErr w:type="spellEnd"/>
      <w:r w:rsidR="0045503C">
        <w:rPr>
          <w:lang w:val="fr-CA"/>
        </w:rPr>
        <w:t xml:space="preserve"> et l</w:t>
      </w:r>
      <w:r w:rsidRPr="00ED5443">
        <w:rPr>
          <w:lang w:val="fr-CA"/>
        </w:rPr>
        <w:t xml:space="preserve">es juges </w:t>
      </w:r>
      <w:proofErr w:type="spellStart"/>
      <w:r w:rsidR="0045503C">
        <w:rPr>
          <w:lang w:val="fr-CA"/>
        </w:rPr>
        <w:t>LeBel</w:t>
      </w:r>
      <w:proofErr w:type="spellEnd"/>
      <w:r w:rsidR="0045503C">
        <w:rPr>
          <w:lang w:val="fr-CA"/>
        </w:rPr>
        <w:t>, Fish</w:t>
      </w:r>
      <w:r w:rsidRPr="00ED5443">
        <w:rPr>
          <w:lang w:val="fr-CA"/>
        </w:rPr>
        <w:t xml:space="preserve">, </w:t>
      </w:r>
      <w:proofErr w:type="spellStart"/>
      <w:r>
        <w:rPr>
          <w:lang w:val="fr-CA"/>
        </w:rPr>
        <w:t>Rothstein</w:t>
      </w:r>
      <w:proofErr w:type="spellEnd"/>
      <w:r w:rsidRPr="00ED5443">
        <w:rPr>
          <w:lang w:val="fr-CA"/>
        </w:rPr>
        <w:t xml:space="preserve"> et Cromwell.</w:t>
      </w:r>
    </w:p>
    <w:p w:rsidR="00BC7999" w:rsidRPr="00ED5443" w:rsidRDefault="00BC7999" w:rsidP="00BC7999">
      <w:pPr>
        <w:spacing w:line="480" w:lineRule="auto"/>
        <w:jc w:val="both"/>
        <w:rPr>
          <w:szCs w:val="24"/>
          <w:lang w:val="fr-CA"/>
        </w:rPr>
      </w:pPr>
    </w:p>
    <w:p w:rsidR="00BC7999" w:rsidRPr="00ED5443" w:rsidRDefault="00BC7999" w:rsidP="00BC7999">
      <w:pPr>
        <w:spacing w:line="480" w:lineRule="auto"/>
        <w:jc w:val="both"/>
        <w:rPr>
          <w:smallCaps/>
          <w:szCs w:val="24"/>
          <w:lang w:val="fr-CA"/>
        </w:rPr>
      </w:pPr>
      <w:r>
        <w:rPr>
          <w:smallCaps/>
          <w:szCs w:val="24"/>
          <w:lang w:val="fr-CA"/>
        </w:rPr>
        <w:t>e</w:t>
      </w:r>
      <w:r w:rsidRPr="00ED5443">
        <w:rPr>
          <w:smallCaps/>
          <w:szCs w:val="24"/>
          <w:lang w:val="fr-CA"/>
        </w:rPr>
        <w:t>n appel de la cour</w:t>
      </w:r>
      <w:r>
        <w:rPr>
          <w:smallCaps/>
          <w:szCs w:val="24"/>
          <w:lang w:val="fr-CA"/>
        </w:rPr>
        <w:t xml:space="preserve"> d’appel de l</w:t>
      </w:r>
      <w:r w:rsidR="0045503C">
        <w:rPr>
          <w:smallCaps/>
          <w:szCs w:val="24"/>
          <w:lang w:val="fr-CA"/>
        </w:rPr>
        <w:t xml:space="preserve">a </w:t>
      </w:r>
      <w:proofErr w:type="spellStart"/>
      <w:r w:rsidR="0045503C">
        <w:rPr>
          <w:smallCaps/>
          <w:szCs w:val="24"/>
          <w:lang w:val="fr-CA"/>
        </w:rPr>
        <w:t>colombie-britannique</w:t>
      </w:r>
      <w:proofErr w:type="spellEnd"/>
    </w:p>
    <w:p w:rsidR="00BC7999" w:rsidRPr="00ED5443" w:rsidRDefault="00BC7999" w:rsidP="00BC7999">
      <w:pPr>
        <w:pStyle w:val="SCCNormalDoubleSpacing"/>
        <w:rPr>
          <w:szCs w:val="24"/>
          <w:lang w:val="fr-CA"/>
        </w:rPr>
      </w:pPr>
    </w:p>
    <w:p w:rsidR="00441569" w:rsidRPr="004A35DB" w:rsidRDefault="00441569" w:rsidP="00441569">
      <w:pPr>
        <w:pStyle w:val="SCCNormalDoubleSpacing"/>
        <w:tabs>
          <w:tab w:val="left" w:pos="1170"/>
        </w:tabs>
        <w:spacing w:after="480"/>
        <w:rPr>
          <w:i/>
          <w:lang w:val="fr-FR"/>
        </w:rPr>
      </w:pPr>
      <w:r w:rsidRPr="00441569">
        <w:rPr>
          <w:lang w:val="fr-FR"/>
        </w:rPr>
        <w:tab/>
      </w:r>
      <w:r w:rsidR="004A35DB" w:rsidRPr="004A35DB">
        <w:rPr>
          <w:i/>
          <w:lang w:val="fr-FR"/>
        </w:rPr>
        <w:t xml:space="preserve">Droit criminel </w:t>
      </w:r>
      <w:r w:rsidR="00A36DCA" w:rsidRPr="002E4C15">
        <w:rPr>
          <w:i/>
          <w:lang w:val="fr-CA"/>
        </w:rPr>
        <w:t xml:space="preserve">— </w:t>
      </w:r>
      <w:r w:rsidR="004A35DB" w:rsidRPr="004A35DB">
        <w:rPr>
          <w:i/>
          <w:lang w:val="fr-FR"/>
        </w:rPr>
        <w:t xml:space="preserve">Exposé au </w:t>
      </w:r>
      <w:r w:rsidRPr="004A35DB">
        <w:rPr>
          <w:i/>
          <w:lang w:val="fr-FR"/>
        </w:rPr>
        <w:t xml:space="preserve">jury </w:t>
      </w:r>
      <w:r w:rsidR="00A36DCA" w:rsidRPr="002E4C15">
        <w:rPr>
          <w:i/>
          <w:lang w:val="fr-CA"/>
        </w:rPr>
        <w:t xml:space="preserve">— </w:t>
      </w:r>
      <w:r w:rsidRPr="004A35DB">
        <w:rPr>
          <w:i/>
          <w:lang w:val="fr-FR"/>
        </w:rPr>
        <w:t>U</w:t>
      </w:r>
      <w:r w:rsidR="004A35DB" w:rsidRPr="004A35DB">
        <w:rPr>
          <w:i/>
          <w:lang w:val="fr-FR"/>
        </w:rPr>
        <w:t xml:space="preserve">tilisation du </w:t>
      </w:r>
      <w:r w:rsidR="004A35DB" w:rsidRPr="0028333C">
        <w:rPr>
          <w:i/>
          <w:lang w:val="fr-FR"/>
        </w:rPr>
        <w:t>dossier crimine</w:t>
      </w:r>
      <w:r w:rsidR="00CE3845" w:rsidRPr="0028333C">
        <w:rPr>
          <w:i/>
          <w:lang w:val="fr-FR"/>
        </w:rPr>
        <w:t>l</w:t>
      </w:r>
      <w:r w:rsidR="00160F1C">
        <w:rPr>
          <w:i/>
          <w:lang w:val="fr-FR"/>
        </w:rPr>
        <w:t xml:space="preserve"> d’un tiers suspect </w:t>
      </w:r>
      <w:r w:rsidR="00A36DCA" w:rsidRPr="002E4C15">
        <w:rPr>
          <w:i/>
          <w:lang w:val="fr-CA"/>
        </w:rPr>
        <w:t xml:space="preserve">— </w:t>
      </w:r>
      <w:r w:rsidR="00CE3845">
        <w:rPr>
          <w:i/>
          <w:lang w:val="fr-FR"/>
        </w:rPr>
        <w:t xml:space="preserve">Formulation par le </w:t>
      </w:r>
      <w:r w:rsidR="004A35DB" w:rsidRPr="004A35DB">
        <w:rPr>
          <w:i/>
          <w:lang w:val="fr-FR"/>
        </w:rPr>
        <w:t>juge du proc</w:t>
      </w:r>
      <w:r w:rsidR="004A35DB">
        <w:rPr>
          <w:i/>
          <w:lang w:val="fr-FR"/>
        </w:rPr>
        <w:t xml:space="preserve">ès </w:t>
      </w:r>
      <w:r w:rsidR="00CE3845">
        <w:rPr>
          <w:i/>
          <w:lang w:val="fr-FR"/>
        </w:rPr>
        <w:t xml:space="preserve">de directives erronées </w:t>
      </w:r>
      <w:r w:rsidR="00160F1C">
        <w:rPr>
          <w:i/>
          <w:lang w:val="fr-FR"/>
        </w:rPr>
        <w:t>qu</w:t>
      </w:r>
      <w:r w:rsidR="004A35DB">
        <w:rPr>
          <w:i/>
          <w:lang w:val="fr-FR"/>
        </w:rPr>
        <w:t xml:space="preserve">ant à l’utilisation limitée </w:t>
      </w:r>
      <w:r w:rsidR="00160F1C">
        <w:rPr>
          <w:i/>
          <w:lang w:val="fr-FR"/>
        </w:rPr>
        <w:t xml:space="preserve">pouvant être faite </w:t>
      </w:r>
      <w:r w:rsidR="004A35DB">
        <w:rPr>
          <w:i/>
          <w:lang w:val="fr-FR"/>
        </w:rPr>
        <w:t>du</w:t>
      </w:r>
      <w:r w:rsidR="0028333C">
        <w:rPr>
          <w:i/>
          <w:lang w:val="fr-FR"/>
        </w:rPr>
        <w:t xml:space="preserve"> dossier criminel </w:t>
      </w:r>
      <w:r w:rsidR="004A35DB">
        <w:rPr>
          <w:i/>
          <w:lang w:val="fr-FR"/>
        </w:rPr>
        <w:t xml:space="preserve">d’un tiers suspect </w:t>
      </w:r>
      <w:r w:rsidR="0028333C">
        <w:rPr>
          <w:i/>
          <w:lang w:val="fr-FR"/>
        </w:rPr>
        <w:t xml:space="preserve">mais </w:t>
      </w:r>
      <w:r w:rsidR="00CE3845">
        <w:rPr>
          <w:i/>
          <w:lang w:val="fr-FR"/>
        </w:rPr>
        <w:t xml:space="preserve">qui </w:t>
      </w:r>
      <w:r w:rsidR="00CE3845">
        <w:rPr>
          <w:i/>
          <w:lang w:val="fr-FR"/>
        </w:rPr>
        <w:lastRenderedPageBreak/>
        <w:t>n’ont entraîné aucun tort important ni aucune erreur judiciaire grave</w:t>
      </w:r>
      <w:r w:rsidRPr="004A35DB">
        <w:rPr>
          <w:i/>
          <w:lang w:val="fr-FR"/>
        </w:rPr>
        <w:t xml:space="preserve"> </w:t>
      </w:r>
      <w:r w:rsidR="00A36DCA" w:rsidRPr="002E4C15">
        <w:rPr>
          <w:i/>
          <w:lang w:val="fr-CA"/>
        </w:rPr>
        <w:t xml:space="preserve">— </w:t>
      </w:r>
      <w:r w:rsidRPr="004A35DB">
        <w:rPr>
          <w:i/>
          <w:lang w:val="fr-FR"/>
        </w:rPr>
        <w:t>C</w:t>
      </w:r>
      <w:r w:rsidR="00CE3845">
        <w:rPr>
          <w:i/>
          <w:lang w:val="fr-FR"/>
        </w:rPr>
        <w:t>ode criminel, L.R.C.</w:t>
      </w:r>
      <w:r w:rsidRPr="004A35DB">
        <w:rPr>
          <w:i/>
          <w:lang w:val="fr-FR"/>
        </w:rPr>
        <w:t xml:space="preserve"> 1985, c</w:t>
      </w:r>
      <w:r w:rsidR="00CE3845">
        <w:rPr>
          <w:i/>
          <w:lang w:val="fr-FR"/>
        </w:rPr>
        <w:t>h</w:t>
      </w:r>
      <w:r w:rsidRPr="004A35DB">
        <w:rPr>
          <w:i/>
          <w:lang w:val="fr-FR"/>
        </w:rPr>
        <w:t>. C</w:t>
      </w:r>
      <w:r w:rsidR="00A36DCA">
        <w:rPr>
          <w:i/>
          <w:lang w:val="fr-FR"/>
        </w:rPr>
        <w:t>-</w:t>
      </w:r>
      <w:r w:rsidRPr="004A35DB">
        <w:rPr>
          <w:i/>
          <w:lang w:val="fr-FR"/>
        </w:rPr>
        <w:t>46,</w:t>
      </w:r>
      <w:r w:rsidR="00A36DCA">
        <w:rPr>
          <w:i/>
          <w:lang w:val="fr-FR"/>
        </w:rPr>
        <w:t xml:space="preserve"> </w:t>
      </w:r>
      <w:r w:rsidR="00CE3845">
        <w:rPr>
          <w:i/>
          <w:lang w:val="fr-FR"/>
        </w:rPr>
        <w:t>art</w:t>
      </w:r>
      <w:r w:rsidRPr="004A35DB">
        <w:rPr>
          <w:i/>
          <w:lang w:val="fr-FR"/>
        </w:rPr>
        <w:t>. 686(1</w:t>
      </w:r>
      <w:r w:rsidR="00A36DCA">
        <w:rPr>
          <w:i/>
          <w:lang w:val="fr-FR"/>
        </w:rPr>
        <w:t>)</w:t>
      </w:r>
      <w:r w:rsidRPr="004A35DB">
        <w:rPr>
          <w:i/>
          <w:lang w:val="fr-FR"/>
        </w:rPr>
        <w:t>b</w:t>
      </w:r>
      <w:proofErr w:type="gramStart"/>
      <w:r w:rsidRPr="004A35DB">
        <w:rPr>
          <w:i/>
          <w:lang w:val="fr-FR"/>
        </w:rPr>
        <w:t>)(</w:t>
      </w:r>
      <w:proofErr w:type="gramEnd"/>
      <w:r w:rsidRPr="004A35DB">
        <w:rPr>
          <w:i/>
          <w:lang w:val="fr-FR"/>
        </w:rPr>
        <w:t>iii).</w:t>
      </w:r>
      <w:r w:rsidRPr="004A35DB">
        <w:rPr>
          <w:lang w:val="fr-FR"/>
        </w:rPr>
        <w:t xml:space="preserve"> </w:t>
      </w:r>
    </w:p>
    <w:p w:rsidR="00BC7999" w:rsidRDefault="00BC7999" w:rsidP="00BC7999">
      <w:pPr>
        <w:pStyle w:val="SCCNormalDoubleSpacing"/>
        <w:tabs>
          <w:tab w:val="left" w:pos="1170"/>
        </w:tabs>
        <w:spacing w:after="480"/>
        <w:rPr>
          <w:b/>
          <w:lang w:val="fr-CA"/>
        </w:rPr>
      </w:pPr>
      <w:r>
        <w:rPr>
          <w:b/>
          <w:lang w:val="fr-CA"/>
        </w:rPr>
        <w:t>Lois et règlements cités</w:t>
      </w:r>
    </w:p>
    <w:p w:rsidR="001E2D67" w:rsidRPr="001E2D67" w:rsidRDefault="001E2D67" w:rsidP="00BC7999">
      <w:pPr>
        <w:pStyle w:val="SCCNormalDoubleSpacing"/>
        <w:tabs>
          <w:tab w:val="left" w:pos="1170"/>
        </w:tabs>
        <w:spacing w:after="480"/>
        <w:rPr>
          <w:lang w:val="fr-CA"/>
        </w:rPr>
      </w:pPr>
      <w:r>
        <w:rPr>
          <w:b/>
          <w:lang w:val="fr-CA"/>
        </w:rPr>
        <w:tab/>
      </w:r>
      <w:r w:rsidRPr="001E2D67">
        <w:rPr>
          <w:i/>
          <w:lang w:val="fr-CA"/>
        </w:rPr>
        <w:t>Code criminel</w:t>
      </w:r>
      <w:r w:rsidRPr="001E2D67">
        <w:rPr>
          <w:lang w:val="fr-CA"/>
        </w:rPr>
        <w:t>, L.R.C. 1985, ch. C-46</w:t>
      </w:r>
      <w:r>
        <w:rPr>
          <w:lang w:val="fr-CA"/>
        </w:rPr>
        <w:t>, art. 686(1)</w:t>
      </w:r>
      <w:r>
        <w:rPr>
          <w:i/>
          <w:lang w:val="fr-CA"/>
        </w:rPr>
        <w:t>b</w:t>
      </w:r>
      <w:proofErr w:type="gramStart"/>
      <w:r>
        <w:rPr>
          <w:lang w:val="fr-CA"/>
        </w:rPr>
        <w:t>)(</w:t>
      </w:r>
      <w:proofErr w:type="gramEnd"/>
      <w:r>
        <w:rPr>
          <w:lang w:val="fr-CA"/>
        </w:rPr>
        <w:t>iii)</w:t>
      </w:r>
      <w:r w:rsidR="00C77091">
        <w:rPr>
          <w:lang w:val="fr-CA"/>
        </w:rPr>
        <w:t>.</w:t>
      </w:r>
    </w:p>
    <w:p w:rsidR="00BC7999" w:rsidRPr="00ED5443" w:rsidRDefault="00BC7999" w:rsidP="00A36DCA">
      <w:pPr>
        <w:pStyle w:val="SCCNormalDoubleSpacing"/>
        <w:tabs>
          <w:tab w:val="left" w:pos="1170"/>
        </w:tabs>
        <w:rPr>
          <w:lang w:val="fr-CA"/>
        </w:rPr>
      </w:pPr>
      <w:r w:rsidRPr="00ED5443">
        <w:rPr>
          <w:lang w:val="fr-CA"/>
        </w:rPr>
        <w:tab/>
        <w:t>POURVOI contre un arrêt de la Cour d’appel de l</w:t>
      </w:r>
      <w:r w:rsidR="00365E0A">
        <w:rPr>
          <w:lang w:val="fr-CA"/>
        </w:rPr>
        <w:t>a Colombie-Britannique</w:t>
      </w:r>
      <w:r w:rsidRPr="00ED5443">
        <w:rPr>
          <w:lang w:val="fr-CA"/>
        </w:rPr>
        <w:t xml:space="preserve"> (les juges </w:t>
      </w:r>
      <w:proofErr w:type="spellStart"/>
      <w:r w:rsidR="00365E0A">
        <w:rPr>
          <w:lang w:val="fr-CA"/>
        </w:rPr>
        <w:t>Prowse</w:t>
      </w:r>
      <w:proofErr w:type="spellEnd"/>
      <w:r w:rsidR="00365E0A">
        <w:rPr>
          <w:lang w:val="fr-CA"/>
        </w:rPr>
        <w:t xml:space="preserve">, Lowry et </w:t>
      </w:r>
      <w:proofErr w:type="spellStart"/>
      <w:r w:rsidR="00365E0A">
        <w:rPr>
          <w:lang w:val="fr-CA"/>
        </w:rPr>
        <w:t>Frankel</w:t>
      </w:r>
      <w:proofErr w:type="spellEnd"/>
      <w:r w:rsidR="00365E0A">
        <w:rPr>
          <w:lang w:val="fr-CA"/>
        </w:rPr>
        <w:t>)</w:t>
      </w:r>
      <w:r w:rsidR="00365E0A" w:rsidRPr="00365E0A">
        <w:rPr>
          <w:lang w:val="fr-CA"/>
        </w:rPr>
        <w:t xml:space="preserve">, 2010 BCCA 440, 293 B.C.A.C. 300, 496 W.A.C. 300, 262 C.C.C. (3d) 59, 80 C.R. (6th) 169, [2010] B.C.J. No. 1984 (QL), 2010 </w:t>
      </w:r>
      <w:proofErr w:type="spellStart"/>
      <w:r w:rsidR="00365E0A" w:rsidRPr="00365E0A">
        <w:rPr>
          <w:lang w:val="fr-CA"/>
        </w:rPr>
        <w:t>CarswellBC</w:t>
      </w:r>
      <w:proofErr w:type="spellEnd"/>
      <w:r w:rsidR="00365E0A" w:rsidRPr="00365E0A">
        <w:rPr>
          <w:lang w:val="fr-CA"/>
        </w:rPr>
        <w:t xml:space="preserve"> 2730, </w:t>
      </w:r>
      <w:r w:rsidR="00C64540">
        <w:rPr>
          <w:lang w:val="fr-CA"/>
        </w:rPr>
        <w:t>qui a confirmé les déclarations de culpabilité prononcées contre l’accusé pour entrée par effra</w:t>
      </w:r>
      <w:r w:rsidR="00A36DCA">
        <w:rPr>
          <w:lang w:val="fr-CA"/>
        </w:rPr>
        <w:t>c</w:t>
      </w:r>
      <w:r w:rsidR="00C64540">
        <w:rPr>
          <w:lang w:val="fr-CA"/>
        </w:rPr>
        <w:t xml:space="preserve">tion et agression sexuelle. </w:t>
      </w:r>
      <w:r w:rsidR="003461F2">
        <w:rPr>
          <w:lang w:val="fr-CA"/>
        </w:rPr>
        <w:t xml:space="preserve">Pourvoi rejeté, les juges </w:t>
      </w:r>
      <w:proofErr w:type="spellStart"/>
      <w:r w:rsidR="003461F2">
        <w:rPr>
          <w:lang w:val="fr-CA"/>
        </w:rPr>
        <w:t>LeBel</w:t>
      </w:r>
      <w:proofErr w:type="spellEnd"/>
      <w:r w:rsidR="003461F2">
        <w:rPr>
          <w:lang w:val="fr-CA"/>
        </w:rPr>
        <w:t xml:space="preserve"> et Fish sont dissidents.</w:t>
      </w:r>
    </w:p>
    <w:p w:rsidR="00BC7999" w:rsidRPr="00ED5443" w:rsidRDefault="00BC7999" w:rsidP="00BC7999">
      <w:pPr>
        <w:pStyle w:val="SCCNormalDoubleSpacing"/>
        <w:rPr>
          <w:lang w:val="fr-CA"/>
        </w:rPr>
      </w:pPr>
    </w:p>
    <w:p w:rsidR="00BC7999" w:rsidRPr="00ED5443" w:rsidRDefault="00BC7999" w:rsidP="00A36DCA">
      <w:pPr>
        <w:pStyle w:val="SCCNormalDoubleSpacing"/>
        <w:tabs>
          <w:tab w:val="left" w:pos="1170"/>
        </w:tabs>
        <w:rPr>
          <w:lang w:val="fr-CA"/>
        </w:rPr>
      </w:pPr>
      <w:r w:rsidRPr="002E4C15">
        <w:rPr>
          <w:i/>
          <w:lang w:val="fr-CA"/>
        </w:rPr>
        <w:tab/>
      </w:r>
      <w:r w:rsidR="00365E0A" w:rsidRPr="002E4C15">
        <w:rPr>
          <w:i/>
          <w:lang w:val="fr-CA"/>
        </w:rPr>
        <w:t>Timothy J. Russell</w:t>
      </w:r>
      <w:r w:rsidRPr="00ED5443">
        <w:rPr>
          <w:lang w:val="fr-CA"/>
        </w:rPr>
        <w:t>, pour l’appelant.</w:t>
      </w:r>
    </w:p>
    <w:p w:rsidR="00BC7999" w:rsidRPr="00ED5443" w:rsidRDefault="00BC7999" w:rsidP="00BC7999">
      <w:pPr>
        <w:pStyle w:val="SCCNormalDoubleSpacing"/>
        <w:rPr>
          <w:lang w:val="fr-CA"/>
        </w:rPr>
      </w:pPr>
    </w:p>
    <w:p w:rsidR="00BC7999" w:rsidRDefault="00BC7999" w:rsidP="00A36DCA">
      <w:pPr>
        <w:pStyle w:val="SCCNormalDoubleSpacing"/>
        <w:tabs>
          <w:tab w:val="left" w:pos="1170"/>
        </w:tabs>
        <w:rPr>
          <w:lang w:val="fr-CA"/>
        </w:rPr>
      </w:pPr>
      <w:r w:rsidRPr="002E4C15">
        <w:rPr>
          <w:i/>
          <w:lang w:val="fr-CA"/>
        </w:rPr>
        <w:tab/>
      </w:r>
      <w:r w:rsidR="00A36DCA" w:rsidRPr="002E4C15">
        <w:rPr>
          <w:i/>
          <w:lang w:val="fr-CA"/>
        </w:rPr>
        <w:t xml:space="preserve">M. </w:t>
      </w:r>
      <w:r w:rsidR="00365E0A" w:rsidRPr="002E4C15">
        <w:rPr>
          <w:i/>
          <w:lang w:val="fr-CA"/>
        </w:rPr>
        <w:t xml:space="preserve">Joyce </w:t>
      </w:r>
      <w:proofErr w:type="spellStart"/>
      <w:r w:rsidR="00365E0A" w:rsidRPr="002E4C15">
        <w:rPr>
          <w:i/>
          <w:lang w:val="fr-CA"/>
        </w:rPr>
        <w:t>DeWitt</w:t>
      </w:r>
      <w:proofErr w:type="spellEnd"/>
      <w:r w:rsidR="00365E0A" w:rsidRPr="002E4C15">
        <w:rPr>
          <w:i/>
          <w:lang w:val="fr-CA"/>
        </w:rPr>
        <w:t xml:space="preserve">-Van </w:t>
      </w:r>
      <w:proofErr w:type="spellStart"/>
      <w:r w:rsidR="00365E0A" w:rsidRPr="002E4C15">
        <w:rPr>
          <w:i/>
          <w:lang w:val="fr-CA"/>
        </w:rPr>
        <w:t>Oosten</w:t>
      </w:r>
      <w:proofErr w:type="spellEnd"/>
      <w:r w:rsidRPr="00ED5443">
        <w:rPr>
          <w:lang w:val="fr-CA"/>
        </w:rPr>
        <w:t>,</w:t>
      </w:r>
      <w:r w:rsidR="00365E0A">
        <w:rPr>
          <w:lang w:val="fr-CA"/>
        </w:rPr>
        <w:t xml:space="preserve"> </w:t>
      </w:r>
      <w:proofErr w:type="gramStart"/>
      <w:r w:rsidR="00365E0A" w:rsidRPr="00C77091">
        <w:rPr>
          <w:i/>
          <w:lang w:val="fr-CA"/>
        </w:rPr>
        <w:t>c.r.</w:t>
      </w:r>
      <w:r w:rsidR="00365E0A">
        <w:rPr>
          <w:lang w:val="fr-CA"/>
        </w:rPr>
        <w:t>,</w:t>
      </w:r>
      <w:proofErr w:type="gramEnd"/>
      <w:r w:rsidRPr="00ED5443">
        <w:rPr>
          <w:lang w:val="fr-CA"/>
        </w:rPr>
        <w:t xml:space="preserve"> pour l’intimée.</w:t>
      </w:r>
    </w:p>
    <w:p w:rsidR="00A36DCA" w:rsidRPr="00ED5443" w:rsidRDefault="00A36DCA" w:rsidP="00A36DCA">
      <w:pPr>
        <w:pStyle w:val="SCCNormalDoubleSpacing"/>
        <w:tabs>
          <w:tab w:val="left" w:pos="1170"/>
        </w:tabs>
        <w:rPr>
          <w:lang w:val="fr-CA"/>
        </w:rPr>
      </w:pPr>
    </w:p>
    <w:p w:rsidR="00BC7999" w:rsidRPr="00ED5443" w:rsidRDefault="00BC7999" w:rsidP="00BC7999">
      <w:pPr>
        <w:pStyle w:val="SCCNormalDoubleSpacing"/>
        <w:tabs>
          <w:tab w:val="left" w:pos="1170"/>
        </w:tabs>
        <w:spacing w:after="480"/>
        <w:rPr>
          <w:szCs w:val="24"/>
          <w:lang w:val="fr-CA"/>
        </w:rPr>
      </w:pPr>
      <w:r w:rsidRPr="00ED5443">
        <w:rPr>
          <w:szCs w:val="24"/>
          <w:lang w:val="fr-CA"/>
        </w:rPr>
        <w:tab/>
        <w:t xml:space="preserve">Version française </w:t>
      </w:r>
      <w:r w:rsidR="00720632">
        <w:rPr>
          <w:szCs w:val="24"/>
          <w:lang w:val="fr-CA"/>
        </w:rPr>
        <w:t>du jugement</w:t>
      </w:r>
      <w:r w:rsidR="0010128C">
        <w:rPr>
          <w:szCs w:val="24"/>
          <w:lang w:val="fr-CA"/>
        </w:rPr>
        <w:t xml:space="preserve"> de la juge en chef </w:t>
      </w:r>
      <w:proofErr w:type="spellStart"/>
      <w:r w:rsidR="0010128C">
        <w:rPr>
          <w:szCs w:val="24"/>
          <w:lang w:val="fr-CA"/>
        </w:rPr>
        <w:t>McLachlin</w:t>
      </w:r>
      <w:proofErr w:type="spellEnd"/>
      <w:r w:rsidR="0010128C">
        <w:rPr>
          <w:szCs w:val="24"/>
          <w:lang w:val="fr-CA"/>
        </w:rPr>
        <w:t xml:space="preserve"> et des ju</w:t>
      </w:r>
      <w:r w:rsidR="00720632">
        <w:rPr>
          <w:szCs w:val="24"/>
          <w:lang w:val="fr-CA"/>
        </w:rPr>
        <w:t xml:space="preserve">ges </w:t>
      </w:r>
      <w:proofErr w:type="spellStart"/>
      <w:r w:rsidR="00720632">
        <w:rPr>
          <w:szCs w:val="24"/>
          <w:lang w:val="fr-CA"/>
        </w:rPr>
        <w:t>Rothstein</w:t>
      </w:r>
      <w:proofErr w:type="spellEnd"/>
      <w:r w:rsidR="00720632">
        <w:rPr>
          <w:szCs w:val="24"/>
          <w:lang w:val="fr-CA"/>
        </w:rPr>
        <w:t xml:space="preserve"> et Cromwell rendu</w:t>
      </w:r>
      <w:r w:rsidR="00605F2E">
        <w:rPr>
          <w:szCs w:val="24"/>
          <w:lang w:val="fr-CA"/>
        </w:rPr>
        <w:t xml:space="preserve"> oralement</w:t>
      </w:r>
      <w:r w:rsidR="0010128C">
        <w:rPr>
          <w:szCs w:val="24"/>
          <w:lang w:val="fr-CA"/>
        </w:rPr>
        <w:t xml:space="preserve"> par</w:t>
      </w:r>
    </w:p>
    <w:p w:rsidR="00D97807" w:rsidRPr="00D97807" w:rsidRDefault="0010128C" w:rsidP="006303D0">
      <w:pPr>
        <w:pStyle w:val="ParaNoNdepar-AltN"/>
        <w:rPr>
          <w:lang w:val="fr-CA"/>
        </w:rPr>
      </w:pPr>
      <w:r>
        <w:rPr>
          <w:smallCaps/>
          <w:lang w:val="fr-CA"/>
        </w:rPr>
        <w:t>L</w:t>
      </w:r>
      <w:r w:rsidR="00C77091">
        <w:rPr>
          <w:smallCaps/>
          <w:lang w:val="fr-CA"/>
        </w:rPr>
        <w:t>a J</w:t>
      </w:r>
      <w:r w:rsidR="00D97807">
        <w:rPr>
          <w:smallCaps/>
          <w:lang w:val="fr-CA"/>
        </w:rPr>
        <w:t>uge en chef</w:t>
      </w:r>
      <w:r w:rsidR="00D97807">
        <w:rPr>
          <w:lang w:val="fr-CA"/>
        </w:rPr>
        <w:t xml:space="preserve"> </w:t>
      </w:r>
      <w:r w:rsidR="00D97807" w:rsidRPr="00D97807">
        <w:rPr>
          <w:lang w:val="fr-CA"/>
        </w:rPr>
        <w:t xml:space="preserve">— Une majorité de juges de la Cour sont d’avis de rejeter l’appel, les juges </w:t>
      </w:r>
      <w:proofErr w:type="spellStart"/>
      <w:r w:rsidR="00D97807" w:rsidRPr="00D97807">
        <w:rPr>
          <w:lang w:val="fr-CA"/>
        </w:rPr>
        <w:t>LeBel</w:t>
      </w:r>
      <w:proofErr w:type="spellEnd"/>
      <w:r w:rsidR="00D97807" w:rsidRPr="00D97807">
        <w:rPr>
          <w:lang w:val="fr-CA"/>
        </w:rPr>
        <w:t xml:space="preserve"> et Fish sont dissidents. Bien que nous soyons convaincus que le juge du procès a commis une erreur de droit dans ses directives </w:t>
      </w:r>
      <w:r w:rsidR="00D97807" w:rsidRPr="00D97807">
        <w:rPr>
          <w:lang w:val="fr-CA"/>
        </w:rPr>
        <w:lastRenderedPageBreak/>
        <w:t>quant à l’utilisation limitée qui pouvait être faite du dossier criminel de M. Babcock, nous sommes d’avis que cette erreur n’a pas occasionné de tort important ou d’erreur judiciaire grave, d’une part, parce que le raisonnement fondé sur la propension quant au dossier de M. Babcock n’a jamais été soumis au jury que ce soit implicitement par l’interrogatoire des témoins ou explicitement dans l’exposé au jury et, d’autre part, en raison de l’absence d’éléments de preuve appuyant une directive sur la propension quant au dossier de M. Babcock.</w:t>
      </w:r>
    </w:p>
    <w:p w:rsidR="00D97807" w:rsidRPr="00D97807" w:rsidRDefault="00605F2E" w:rsidP="00D97807">
      <w:pPr>
        <w:pStyle w:val="SCCNormalDoubleSpacing"/>
        <w:tabs>
          <w:tab w:val="left" w:pos="1170"/>
        </w:tabs>
        <w:spacing w:after="480"/>
        <w:rPr>
          <w:lang w:val="fr-CA"/>
        </w:rPr>
      </w:pPr>
      <w:r>
        <w:rPr>
          <w:lang w:val="fr-CA"/>
        </w:rPr>
        <w:tab/>
        <w:t>Version française des</w:t>
      </w:r>
      <w:r w:rsidR="00B4639F">
        <w:rPr>
          <w:lang w:val="fr-CA"/>
        </w:rPr>
        <w:t xml:space="preserve"> motifs des juges </w:t>
      </w:r>
      <w:proofErr w:type="spellStart"/>
      <w:r w:rsidR="00B4639F">
        <w:rPr>
          <w:lang w:val="fr-CA"/>
        </w:rPr>
        <w:t>LeBel</w:t>
      </w:r>
      <w:proofErr w:type="spellEnd"/>
      <w:r w:rsidR="00B4639F">
        <w:rPr>
          <w:lang w:val="fr-CA"/>
        </w:rPr>
        <w:t xml:space="preserve"> et Fish</w:t>
      </w:r>
      <w:r>
        <w:rPr>
          <w:lang w:val="fr-CA"/>
        </w:rPr>
        <w:t xml:space="preserve"> rendus oralement par</w:t>
      </w:r>
    </w:p>
    <w:p w:rsidR="00BC7999" w:rsidRPr="00ED5443" w:rsidRDefault="00D97807" w:rsidP="006303D0">
      <w:pPr>
        <w:pStyle w:val="ParaNoNdepar-AltN"/>
        <w:rPr>
          <w:lang w:val="fr-CA"/>
        </w:rPr>
      </w:pPr>
      <w:r>
        <w:rPr>
          <w:smallCaps/>
          <w:lang w:val="fr-CA"/>
        </w:rPr>
        <w:t xml:space="preserve">Le juge </w:t>
      </w:r>
      <w:proofErr w:type="spellStart"/>
      <w:r>
        <w:rPr>
          <w:smallCaps/>
          <w:lang w:val="fr-CA"/>
        </w:rPr>
        <w:t>LeBel</w:t>
      </w:r>
      <w:proofErr w:type="spellEnd"/>
      <w:r>
        <w:rPr>
          <w:lang w:val="fr-CA"/>
        </w:rPr>
        <w:t xml:space="preserve"> </w:t>
      </w:r>
      <w:r w:rsidRPr="00D97807">
        <w:rPr>
          <w:lang w:val="fr-CA"/>
        </w:rPr>
        <w:t xml:space="preserve">(dissident) — Avec égards pour l’opinion contraire, je souscris à l’opinion dissidente de la juge </w:t>
      </w:r>
      <w:proofErr w:type="spellStart"/>
      <w:r w:rsidRPr="00D97807">
        <w:rPr>
          <w:lang w:val="fr-CA"/>
        </w:rPr>
        <w:t>Prowse</w:t>
      </w:r>
      <w:proofErr w:type="spellEnd"/>
      <w:r w:rsidRPr="00D97807">
        <w:rPr>
          <w:lang w:val="fr-CA"/>
        </w:rPr>
        <w:t xml:space="preserve"> de la Cour d’appel selon laquelle le juge du procès a commis une erreur </w:t>
      </w:r>
      <w:r w:rsidR="00A36DCA">
        <w:rPr>
          <w:lang w:val="fr-CA"/>
        </w:rPr>
        <w:t xml:space="preserve">de droit </w:t>
      </w:r>
      <w:r w:rsidRPr="00D97807">
        <w:rPr>
          <w:lang w:val="fr-CA"/>
        </w:rPr>
        <w:t>en donnant des directives au jury quant à l’utilisation du dossier criminel d’un tiers suspect.  Plus particulièrement, le juge a donné des directives erronées au jury lorsqu’il a affirmé qu’un tel élément de preuve pouvait être utilisé uniquement pour mettre à l’épreuve la crédibilité d’un tiers.  À mon avis, il ne peut être remédié à cette erreur de droit par application du sous-al. 686(1)</w:t>
      </w:r>
      <w:r w:rsidRPr="00E52A1F">
        <w:rPr>
          <w:i/>
          <w:lang w:val="fr-CA"/>
        </w:rPr>
        <w:t>b</w:t>
      </w:r>
      <w:proofErr w:type="gramStart"/>
      <w:r w:rsidRPr="00D97807">
        <w:rPr>
          <w:lang w:val="fr-CA"/>
        </w:rPr>
        <w:t>)(</w:t>
      </w:r>
      <w:proofErr w:type="gramEnd"/>
      <w:r w:rsidRPr="00D97807">
        <w:rPr>
          <w:lang w:val="fr-CA"/>
        </w:rPr>
        <w:t xml:space="preserve">iii) du </w:t>
      </w:r>
      <w:r w:rsidRPr="00E52A1F">
        <w:rPr>
          <w:i/>
          <w:lang w:val="fr-CA"/>
        </w:rPr>
        <w:t>Code criminel</w:t>
      </w:r>
      <w:r w:rsidRPr="00D97807">
        <w:rPr>
          <w:lang w:val="fr-CA"/>
        </w:rPr>
        <w:t xml:space="preserve">, L.R.C. 1985, ch. C-46.  La preuve contre l’accusé n’était pas accablante.  L’erreur de droit était manifeste et importante.  Dans le contexte du procès en question, elle ne saurait être qualifiée d’erreur sans conséquence.  Pour ces motifs, je suis d’avis d’accueillir l’appel, d’annuler la déclaration de culpabilité et d’ordonner la tenue d’un nouveau procès relativement </w:t>
      </w:r>
      <w:r w:rsidRPr="00D97807">
        <w:rPr>
          <w:lang w:val="fr-CA"/>
        </w:rPr>
        <w:lastRenderedPageBreak/>
        <w:t>aux mêmes chefs d’accusations.</w:t>
      </w:r>
      <w:r w:rsidRPr="00D97807">
        <w:rPr>
          <w:lang w:val="fr-CA"/>
        </w:rPr>
        <w:cr/>
      </w:r>
    </w:p>
    <w:p w:rsidR="00BC7999" w:rsidRPr="00ED5443" w:rsidRDefault="00BC7999" w:rsidP="00BC7999">
      <w:pPr>
        <w:pStyle w:val="SCCNormalDoubleSpacing"/>
        <w:rPr>
          <w:i/>
          <w:lang w:val="fr-CA"/>
        </w:rPr>
      </w:pPr>
      <w:r w:rsidRPr="00ED5443">
        <w:rPr>
          <w:lang w:val="fr-CA"/>
        </w:rPr>
        <w:tab/>
      </w:r>
      <w:r w:rsidR="00605F2E">
        <w:rPr>
          <w:i/>
          <w:lang w:val="fr-CA"/>
        </w:rPr>
        <w:t>Jugement en conséquence</w:t>
      </w:r>
      <w:r w:rsidRPr="00ED5443">
        <w:rPr>
          <w:i/>
          <w:lang w:val="fr-CA"/>
        </w:rPr>
        <w:t>.</w:t>
      </w:r>
    </w:p>
    <w:p w:rsidR="00BC7999" w:rsidRPr="00ED5443" w:rsidRDefault="00BC7999" w:rsidP="00BC7999">
      <w:pPr>
        <w:pStyle w:val="SCCNormalDoubleSpacing"/>
        <w:rPr>
          <w:lang w:val="fr-CA"/>
        </w:rPr>
      </w:pPr>
    </w:p>
    <w:p w:rsidR="00BC7999" w:rsidRPr="00ED5443" w:rsidRDefault="00BC7999" w:rsidP="00BC7999">
      <w:pPr>
        <w:pStyle w:val="SCCLawFirm"/>
        <w:ind w:firstLine="720"/>
        <w:rPr>
          <w:lang w:val="fr-CA"/>
        </w:rPr>
      </w:pPr>
      <w:r w:rsidRPr="00ED5443">
        <w:rPr>
          <w:lang w:val="fr-CA"/>
        </w:rPr>
        <w:t>Procureurs de l’appelant : </w:t>
      </w:r>
      <w:proofErr w:type="spellStart"/>
      <w:r w:rsidR="00340E7E" w:rsidRPr="00540481">
        <w:rPr>
          <w:lang w:val="fr-CA"/>
        </w:rPr>
        <w:t>McCullough</w:t>
      </w:r>
      <w:proofErr w:type="spellEnd"/>
      <w:r w:rsidR="00340E7E" w:rsidRPr="00540481">
        <w:rPr>
          <w:lang w:val="fr-CA"/>
        </w:rPr>
        <w:t xml:space="preserve"> </w:t>
      </w:r>
      <w:proofErr w:type="spellStart"/>
      <w:r w:rsidR="00340E7E" w:rsidRPr="00540481">
        <w:rPr>
          <w:lang w:val="fr-CA"/>
        </w:rPr>
        <w:t>Blazina</w:t>
      </w:r>
      <w:proofErr w:type="spellEnd"/>
      <w:r w:rsidR="00340E7E" w:rsidRPr="00540481">
        <w:rPr>
          <w:lang w:val="fr-CA"/>
        </w:rPr>
        <w:t xml:space="preserve"> </w:t>
      </w:r>
      <w:proofErr w:type="spellStart"/>
      <w:r w:rsidR="00340E7E" w:rsidRPr="00540481">
        <w:rPr>
          <w:lang w:val="fr-CA"/>
        </w:rPr>
        <w:t>Dieno</w:t>
      </w:r>
      <w:proofErr w:type="spellEnd"/>
      <w:r w:rsidR="00340E7E" w:rsidRPr="00540481">
        <w:rPr>
          <w:lang w:val="fr-CA"/>
        </w:rPr>
        <w:t xml:space="preserve"> &amp; </w:t>
      </w:r>
      <w:proofErr w:type="spellStart"/>
      <w:r w:rsidR="00340E7E" w:rsidRPr="00540481">
        <w:rPr>
          <w:lang w:val="fr-CA"/>
        </w:rPr>
        <w:t>Gustafson</w:t>
      </w:r>
      <w:proofErr w:type="spellEnd"/>
      <w:r w:rsidR="00340E7E" w:rsidRPr="00540481">
        <w:rPr>
          <w:lang w:val="fr-CA"/>
        </w:rPr>
        <w:t>, Victoria</w:t>
      </w:r>
      <w:r w:rsidR="002E4D87">
        <w:rPr>
          <w:lang w:val="fr-CA"/>
        </w:rPr>
        <w:t>.</w:t>
      </w:r>
    </w:p>
    <w:p w:rsidR="00BC7999" w:rsidRPr="00ED5443" w:rsidRDefault="00BC7999" w:rsidP="00BC7999">
      <w:pPr>
        <w:pStyle w:val="SCCLawFirm"/>
        <w:rPr>
          <w:lang w:val="fr-CA"/>
        </w:rPr>
      </w:pPr>
      <w:r w:rsidRPr="00ED5443">
        <w:rPr>
          <w:lang w:val="fr-CA"/>
        </w:rPr>
        <w:tab/>
      </w:r>
    </w:p>
    <w:p w:rsidR="00BC7999" w:rsidRPr="00ED5443" w:rsidRDefault="00BC7999" w:rsidP="00BC7999">
      <w:pPr>
        <w:pStyle w:val="SCCLawFirm"/>
        <w:ind w:firstLine="720"/>
        <w:rPr>
          <w:lang w:val="fr-CA"/>
        </w:rPr>
      </w:pPr>
      <w:r w:rsidRPr="00ED5443">
        <w:rPr>
          <w:lang w:val="fr-CA"/>
        </w:rPr>
        <w:t xml:space="preserve">Procureur de l’intimée : Procureur général de </w:t>
      </w:r>
      <w:r w:rsidR="00340E7E">
        <w:rPr>
          <w:lang w:val="fr-CA"/>
        </w:rPr>
        <w:t>la Colombie-Britannique</w:t>
      </w:r>
      <w:r w:rsidRPr="00ED5443">
        <w:rPr>
          <w:lang w:val="fr-CA"/>
        </w:rPr>
        <w:t xml:space="preserve">, </w:t>
      </w:r>
      <w:r w:rsidR="00340E7E">
        <w:rPr>
          <w:lang w:val="fr-CA"/>
        </w:rPr>
        <w:t>Victoria</w:t>
      </w:r>
      <w:r w:rsidRPr="00ED5443">
        <w:rPr>
          <w:lang w:val="fr-CA"/>
        </w:rPr>
        <w:t xml:space="preserve">. </w:t>
      </w:r>
    </w:p>
    <w:p w:rsidR="00340E7E" w:rsidRPr="00BC7999" w:rsidRDefault="00340E7E">
      <w:pPr>
        <w:rPr>
          <w:lang w:val="fr-CA"/>
        </w:rPr>
      </w:pPr>
    </w:p>
    <w:sectPr w:rsidR="00340E7E" w:rsidRPr="00BC7999" w:rsidSect="002E4C15">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C15" w:rsidRDefault="002E4C15" w:rsidP="008110E1">
      <w:r>
        <w:separator/>
      </w:r>
    </w:p>
  </w:endnote>
  <w:endnote w:type="continuationSeparator" w:id="0">
    <w:p w:rsidR="002E4C15" w:rsidRDefault="002E4C15" w:rsidP="00811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C15" w:rsidRDefault="002E4C15" w:rsidP="008110E1">
      <w:r>
        <w:separator/>
      </w:r>
    </w:p>
  </w:footnote>
  <w:footnote w:type="continuationSeparator" w:id="0">
    <w:p w:rsidR="002E4C15" w:rsidRDefault="002E4C15" w:rsidP="00811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3661"/>
      <w:docPartObj>
        <w:docPartGallery w:val="Page Numbers (Top of Page)"/>
        <w:docPartUnique/>
      </w:docPartObj>
    </w:sdtPr>
    <w:sdtContent>
      <w:p w:rsidR="002E4C15" w:rsidRDefault="002E4C15">
        <w:pPr>
          <w:pStyle w:val="Header"/>
          <w:jc w:val="center"/>
        </w:pPr>
        <w:r>
          <w:t xml:space="preserve">- </w:t>
        </w:r>
        <w:fldSimple w:instr=" PAGE   \* MERGEFORMAT ">
          <w:r w:rsidR="00145B18">
            <w:rPr>
              <w:noProof/>
            </w:rPr>
            <w:t>2</w:t>
          </w:r>
        </w:fldSimple>
        <w:r>
          <w:t xml:space="preserve"> -</w:t>
        </w:r>
      </w:p>
    </w:sdtContent>
  </w:sdt>
  <w:p w:rsidR="002E4C15" w:rsidRPr="00450352" w:rsidRDefault="002E4C15" w:rsidP="00340E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F5240B38"/>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stylePaneSortMethod w:val="0004"/>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C7999"/>
    <w:rsid w:val="00075DF8"/>
    <w:rsid w:val="00100F78"/>
    <w:rsid w:val="0010128C"/>
    <w:rsid w:val="00145B18"/>
    <w:rsid w:val="00160F1C"/>
    <w:rsid w:val="001E2D67"/>
    <w:rsid w:val="002832E7"/>
    <w:rsid w:val="0028333C"/>
    <w:rsid w:val="002A1C62"/>
    <w:rsid w:val="002E4C15"/>
    <w:rsid w:val="002E4D87"/>
    <w:rsid w:val="00340E7E"/>
    <w:rsid w:val="003461F2"/>
    <w:rsid w:val="00365E0A"/>
    <w:rsid w:val="00424DBB"/>
    <w:rsid w:val="00441569"/>
    <w:rsid w:val="0045503C"/>
    <w:rsid w:val="004A35DB"/>
    <w:rsid w:val="004A6BC3"/>
    <w:rsid w:val="004F692B"/>
    <w:rsid w:val="00500170"/>
    <w:rsid w:val="00506AB3"/>
    <w:rsid w:val="00540481"/>
    <w:rsid w:val="00605F2E"/>
    <w:rsid w:val="006303D0"/>
    <w:rsid w:val="0067084B"/>
    <w:rsid w:val="00720632"/>
    <w:rsid w:val="007226AB"/>
    <w:rsid w:val="0078362B"/>
    <w:rsid w:val="007A6E50"/>
    <w:rsid w:val="007C6710"/>
    <w:rsid w:val="007F7CD3"/>
    <w:rsid w:val="008110E1"/>
    <w:rsid w:val="00817BF3"/>
    <w:rsid w:val="00834BD3"/>
    <w:rsid w:val="00862015"/>
    <w:rsid w:val="008E0E8C"/>
    <w:rsid w:val="0098792D"/>
    <w:rsid w:val="009A2184"/>
    <w:rsid w:val="00A0337F"/>
    <w:rsid w:val="00A36DCA"/>
    <w:rsid w:val="00AC7AA6"/>
    <w:rsid w:val="00AE7F6A"/>
    <w:rsid w:val="00B02EE2"/>
    <w:rsid w:val="00B25DA6"/>
    <w:rsid w:val="00B4639F"/>
    <w:rsid w:val="00BA33DA"/>
    <w:rsid w:val="00BC2A54"/>
    <w:rsid w:val="00BC7999"/>
    <w:rsid w:val="00C021E7"/>
    <w:rsid w:val="00C057B6"/>
    <w:rsid w:val="00C64540"/>
    <w:rsid w:val="00C77091"/>
    <w:rsid w:val="00CE3845"/>
    <w:rsid w:val="00CF429F"/>
    <w:rsid w:val="00D26233"/>
    <w:rsid w:val="00D97807"/>
    <w:rsid w:val="00DD6D68"/>
    <w:rsid w:val="00E260E8"/>
    <w:rsid w:val="00E52A1F"/>
    <w:rsid w:val="00F0053F"/>
    <w:rsid w:val="00F22182"/>
    <w:rsid w:val="00FB3F1C"/>
    <w:rsid w:val="00FF1BCB"/>
    <w:rsid w:val="00FF2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15"/>
    <w:rPr>
      <w:rFonts w:eastAsia="Times New Roman" w:cs="Times New Roman"/>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BC7999"/>
    <w:pPr>
      <w:spacing w:line="480" w:lineRule="auto"/>
      <w:jc w:val="both"/>
    </w:pPr>
  </w:style>
  <w:style w:type="character" w:customStyle="1" w:styleId="SCCNormalDoubleSpacingChar">
    <w:name w:val="SCC.Normal.DoubleSpacing Char"/>
    <w:basedOn w:val="DefaultParagraphFont"/>
    <w:link w:val="SCCNormalDoubleSpacing"/>
    <w:rsid w:val="00BC7999"/>
    <w:rPr>
      <w:rFonts w:eastAsia="Times New Roman" w:cs="Times New Roman"/>
      <w:szCs w:val="20"/>
      <w:lang w:val="en-CA" w:eastAsia="en-CA"/>
    </w:rPr>
  </w:style>
  <w:style w:type="paragraph" w:styleId="Header">
    <w:name w:val="header"/>
    <w:basedOn w:val="Normal"/>
    <w:link w:val="HeaderChar"/>
    <w:uiPriority w:val="99"/>
    <w:unhideWhenUsed/>
    <w:rsid w:val="00BC7999"/>
    <w:pPr>
      <w:tabs>
        <w:tab w:val="center" w:pos="4680"/>
        <w:tab w:val="right" w:pos="9360"/>
      </w:tabs>
    </w:pPr>
  </w:style>
  <w:style w:type="character" w:customStyle="1" w:styleId="HeaderChar">
    <w:name w:val="Header Char"/>
    <w:basedOn w:val="DefaultParagraphFont"/>
    <w:link w:val="Header"/>
    <w:uiPriority w:val="99"/>
    <w:rsid w:val="00BC7999"/>
    <w:rPr>
      <w:rFonts w:eastAsia="Times New Roman" w:cs="Times New Roman"/>
      <w:szCs w:val="20"/>
      <w:lang w:val="en-CA" w:eastAsia="en-CA"/>
    </w:rPr>
  </w:style>
  <w:style w:type="paragraph" w:customStyle="1" w:styleId="SCCLsocParty">
    <w:name w:val="SCC.Lsoc.Party"/>
    <w:basedOn w:val="Normal"/>
    <w:next w:val="Normal"/>
    <w:link w:val="SCCLsocPartyChar"/>
    <w:rsid w:val="00BC7999"/>
    <w:pPr>
      <w:jc w:val="both"/>
    </w:pPr>
    <w:rPr>
      <w:b/>
    </w:rPr>
  </w:style>
  <w:style w:type="character" w:customStyle="1" w:styleId="SCCLsocPartyChar">
    <w:name w:val="SCC.Lsoc.Party Char"/>
    <w:basedOn w:val="DefaultParagraphFont"/>
    <w:link w:val="SCCLsocParty"/>
    <w:rsid w:val="00BC7999"/>
    <w:rPr>
      <w:rFonts w:eastAsia="Times New Roman" w:cs="Times New Roman"/>
      <w:b/>
      <w:szCs w:val="20"/>
      <w:lang w:val="en-CA" w:eastAsia="en-CA"/>
    </w:rPr>
  </w:style>
  <w:style w:type="paragraph" w:customStyle="1" w:styleId="SCCLsocVersus">
    <w:name w:val="SCC.Lsoc.Versus"/>
    <w:basedOn w:val="Normal"/>
    <w:next w:val="Normal"/>
    <w:link w:val="SCCLsocVersusChar"/>
    <w:rsid w:val="00BC7999"/>
    <w:rPr>
      <w:i/>
    </w:rPr>
  </w:style>
  <w:style w:type="character" w:customStyle="1" w:styleId="SCCLsocVersusChar">
    <w:name w:val="SCC.Lsoc.Versus Char"/>
    <w:basedOn w:val="DefaultParagraphFont"/>
    <w:link w:val="SCCLsocVersus"/>
    <w:rsid w:val="00BC7999"/>
    <w:rPr>
      <w:rFonts w:eastAsia="Times New Roman" w:cs="Times New Roman"/>
      <w:i/>
      <w:szCs w:val="20"/>
      <w:lang w:val="en-CA" w:eastAsia="en-CA"/>
    </w:rPr>
  </w:style>
  <w:style w:type="paragraph" w:styleId="Footer">
    <w:name w:val="footer"/>
    <w:basedOn w:val="Normal"/>
    <w:link w:val="FooterChar"/>
    <w:uiPriority w:val="99"/>
    <w:semiHidden/>
    <w:unhideWhenUsed/>
    <w:rsid w:val="002E4C15"/>
    <w:pPr>
      <w:tabs>
        <w:tab w:val="center" w:pos="4680"/>
        <w:tab w:val="right" w:pos="9360"/>
      </w:tabs>
    </w:pPr>
  </w:style>
  <w:style w:type="character" w:customStyle="1" w:styleId="FooterChar">
    <w:name w:val="Footer Char"/>
    <w:basedOn w:val="DefaultParagraphFont"/>
    <w:link w:val="Footer"/>
    <w:uiPriority w:val="99"/>
    <w:semiHidden/>
    <w:rsid w:val="002E4C15"/>
    <w:rPr>
      <w:rFonts w:eastAsia="Times New Roman" w:cs="Times New Roman"/>
      <w:szCs w:val="20"/>
      <w:lang w:val="en-CA" w:eastAsia="en-CA"/>
    </w:rPr>
  </w:style>
  <w:style w:type="paragraph" w:customStyle="1" w:styleId="SCCSystemYear">
    <w:name w:val="SCC.SystemYear"/>
    <w:basedOn w:val="Normal"/>
    <w:next w:val="Normal"/>
    <w:link w:val="SCCSystemYearChar"/>
    <w:rsid w:val="00BC7999"/>
    <w:rPr>
      <w:b/>
    </w:rPr>
  </w:style>
  <w:style w:type="character" w:customStyle="1" w:styleId="SCCSystemYearChar">
    <w:name w:val="SCC.SystemYear Char"/>
    <w:basedOn w:val="DefaultParagraphFont"/>
    <w:link w:val="SCCSystemYear"/>
    <w:rsid w:val="00BC7999"/>
    <w:rPr>
      <w:rFonts w:eastAsia="Times New Roman" w:cs="Times New Roman"/>
      <w:b/>
      <w:szCs w:val="20"/>
      <w:lang w:val="en-CA" w:eastAsia="en-CA"/>
    </w:rPr>
  </w:style>
  <w:style w:type="paragraph" w:customStyle="1" w:styleId="SCCLawFirm">
    <w:name w:val="SCC.LawFirm"/>
    <w:basedOn w:val="SCCNormalDoubleSpacing"/>
    <w:next w:val="SCCNormalDoubleSpacing"/>
    <w:link w:val="SCCLawFirmChar"/>
    <w:rsid w:val="00BC7999"/>
    <w:rPr>
      <w:i/>
    </w:rPr>
  </w:style>
  <w:style w:type="character" w:customStyle="1" w:styleId="SCCLawFirmChar">
    <w:name w:val="SCC.LawFirm Char"/>
    <w:basedOn w:val="SCCNormalDoubleSpacingChar"/>
    <w:link w:val="SCCLawFirm"/>
    <w:rsid w:val="00BC7999"/>
    <w:rPr>
      <w:i/>
    </w:rPr>
  </w:style>
  <w:style w:type="paragraph" w:customStyle="1" w:styleId="ParaNoNdepar-AltN">
    <w:name w:val="Para. No. / Nº de par. - Alt N"/>
    <w:qFormat/>
    <w:rsid w:val="006303D0"/>
    <w:pPr>
      <w:numPr>
        <w:numId w:val="1"/>
      </w:numPr>
      <w:spacing w:before="480" w:after="480" w:line="480" w:lineRule="auto"/>
      <w:jc w:val="both"/>
    </w:pPr>
    <w:rPr>
      <w:rFonts w:eastAsiaTheme="minorEastAsia"/>
      <w:szCs w:val="22"/>
      <w:lang w:val="en-CA"/>
    </w:rPr>
  </w:style>
  <w:style w:type="table" w:styleId="TableGrid">
    <w:name w:val="Table Grid"/>
    <w:basedOn w:val="TableNormal"/>
    <w:uiPriority w:val="59"/>
    <w:rsid w:val="00145B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artyRole">
    <w:name w:val="SCC.Lsoc.PartyRole"/>
    <w:basedOn w:val="Normal"/>
    <w:next w:val="Normal"/>
    <w:link w:val="SCCLsocPartyRoleChar"/>
    <w:rsid w:val="00145B18"/>
    <w:pPr>
      <w:jc w:val="center"/>
    </w:pPr>
    <w:rPr>
      <w:rFonts w:eastAsiaTheme="minorHAnsi" w:cstheme="minorBidi"/>
      <w:szCs w:val="24"/>
      <w:lang w:val="fr-CA" w:eastAsia="en-US"/>
    </w:rPr>
  </w:style>
  <w:style w:type="character" w:customStyle="1" w:styleId="SCCLsocPartyRoleChar">
    <w:name w:val="SCC.Lsoc.PartyRole Char"/>
    <w:basedOn w:val="DefaultParagraphFont"/>
    <w:link w:val="SCCLsocPartyRole"/>
    <w:rsid w:val="00145B18"/>
    <w:rPr>
      <w:lang w:val="fr-CA"/>
    </w:rPr>
  </w:style>
  <w:style w:type="paragraph" w:customStyle="1" w:styleId="SCCLsocPrefix">
    <w:name w:val="SCC.Lsoc.Prefix"/>
    <w:basedOn w:val="Normal"/>
    <w:next w:val="Normal"/>
    <w:link w:val="SCCLsocPrefixChar"/>
    <w:rsid w:val="00145B18"/>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145B18"/>
    <w:rPr>
      <w:b/>
      <w:smallCaps/>
      <w:lang w:val="fr-CA"/>
    </w:rPr>
  </w:style>
  <w:style w:type="paragraph" w:customStyle="1" w:styleId="SCCAppellantForIndex">
    <w:name w:val="SCC.AppellantForIndex"/>
    <w:basedOn w:val="Normal"/>
    <w:next w:val="Normal"/>
    <w:link w:val="SCCAppellantForIndexChar"/>
    <w:rsid w:val="00145B18"/>
    <w:rPr>
      <w:b/>
      <w:lang w:val="fr-CA"/>
    </w:rPr>
  </w:style>
  <w:style w:type="character" w:customStyle="1" w:styleId="SCCAppellantForIndexChar">
    <w:name w:val="SCC.AppellantForIndex Char"/>
    <w:basedOn w:val="DefaultParagraphFont"/>
    <w:link w:val="SCCAppellantForIndex"/>
    <w:rsid w:val="00145B18"/>
    <w:rPr>
      <w:rFonts w:eastAsia="Times New Roman" w:cs="Times New Roman"/>
      <w:b/>
      <w:szCs w:val="20"/>
      <w:lang w:val="fr-CA" w:eastAsia="en-CA"/>
    </w:rPr>
  </w:style>
  <w:style w:type="paragraph" w:customStyle="1" w:styleId="SCCRespondentForIndex">
    <w:name w:val="SCC.RespondentForIndex"/>
    <w:basedOn w:val="Normal"/>
    <w:next w:val="Normal"/>
    <w:link w:val="SCCRespondentForIndexChar"/>
    <w:rsid w:val="00145B18"/>
    <w:rPr>
      <w:b/>
      <w:lang w:val="fr-CA"/>
    </w:rPr>
  </w:style>
  <w:style w:type="character" w:customStyle="1" w:styleId="SCCRespondentForIndexChar">
    <w:name w:val="SCC.RespondentForIndex Char"/>
    <w:basedOn w:val="DefaultParagraphFont"/>
    <w:link w:val="SCCRespondentForIndex"/>
    <w:rsid w:val="00145B18"/>
    <w:rPr>
      <w:rFonts w:eastAsia="Times New Roman" w:cs="Times New Roman"/>
      <w:b/>
      <w:szCs w:val="20"/>
      <w:lang w:val="fr-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619</Words>
  <Characters>3405</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CSC</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8</cp:revision>
  <cp:lastPrinted>2011-11-23T19:00:00Z</cp:lastPrinted>
  <dcterms:created xsi:type="dcterms:W3CDTF">2011-11-28T14:14:00Z</dcterms:created>
  <dcterms:modified xsi:type="dcterms:W3CDTF">2012-02-20T16:01:00Z</dcterms:modified>
</cp:coreProperties>
</file>