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917" w:rsidRPr="00EA6917" w:rsidRDefault="00EA6917" w:rsidP="00EA6917">
      <w:pPr>
        <w:pStyle w:val="Header"/>
        <w:rPr>
          <w:lang w:val="fr-CA"/>
        </w:rPr>
      </w:pPr>
      <w:r>
        <w:ptab w:relativeTo="margin" w:alignment="center" w:leader="none"/>
      </w:r>
      <w:r w:rsidRPr="00EA6917">
        <w:rPr>
          <w:lang w:val="fr-CA"/>
        </w:rPr>
        <w:t xml:space="preserve"> </w:t>
      </w:r>
      <w:r>
        <w:object w:dxaOrig="136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2pt;height:64.8pt" o:ole="">
            <v:imagedata r:id="rId7" o:title=""/>
          </v:shape>
          <o:OLEObject Type="Embed" ProgID="Presentations.Drawing.13" ShapeID="_x0000_i1025" DrawAspect="Content" ObjectID="_1392548600" r:id="rId8"/>
        </w:object>
      </w:r>
      <w:r w:rsidRPr="00EA6917">
        <w:rPr>
          <w:lang w:val="fr-CA"/>
        </w:rPr>
        <w:t xml:space="preserve"> </w:t>
      </w:r>
      <w:r>
        <w:ptab w:relativeTo="margin" w:alignment="right" w:leader="none"/>
      </w:r>
    </w:p>
    <w:p w:rsidR="00EA6917" w:rsidRPr="00EA6917" w:rsidRDefault="00EA6917" w:rsidP="00EA6917">
      <w:pPr>
        <w:pStyle w:val="Header"/>
        <w:rPr>
          <w:lang w:val="fr-CA"/>
        </w:rPr>
      </w:pPr>
    </w:p>
    <w:p w:rsidR="00EA6917" w:rsidRPr="00EA6917" w:rsidRDefault="00EA6917" w:rsidP="00EA6917">
      <w:pPr>
        <w:jc w:val="center"/>
        <w:rPr>
          <w:b/>
          <w:lang w:val="fr-CA"/>
        </w:rPr>
      </w:pPr>
      <w:r w:rsidRPr="00EA6917">
        <w:rPr>
          <w:b/>
          <w:lang w:val="fr-CA"/>
        </w:rPr>
        <w:t>COUR SUPRÊME DU CANADA</w:t>
      </w:r>
    </w:p>
    <w:p w:rsidR="00EA6917" w:rsidRPr="00EA6917" w:rsidRDefault="00EA6917" w:rsidP="00EA6917">
      <w:pPr>
        <w:pStyle w:val="Header"/>
        <w:rPr>
          <w:lang w:val="fr-CA"/>
        </w:rPr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6768"/>
        <w:gridCol w:w="2808"/>
      </w:tblGrid>
      <w:tr w:rsidR="00EA6917" w:rsidRPr="001E12E2" w:rsidTr="009F785C">
        <w:trPr>
          <w:cantSplit/>
        </w:trPr>
        <w:tc>
          <w:tcPr>
            <w:tcW w:w="6768" w:type="dxa"/>
          </w:tcPr>
          <w:p w:rsidR="00EA6917" w:rsidRPr="00EA6917" w:rsidRDefault="00EA6917" w:rsidP="009F785C">
            <w:pPr>
              <w:rPr>
                <w:lang w:val="fr-CA"/>
              </w:rPr>
            </w:pPr>
            <w:r w:rsidRPr="00EA6917">
              <w:rPr>
                <w:b/>
                <w:smallCaps/>
                <w:lang w:val="fr-CA"/>
              </w:rPr>
              <w:t xml:space="preserve">Référence </w:t>
            </w:r>
            <w:proofErr w:type="gramStart"/>
            <w:r w:rsidRPr="00EA6917">
              <w:rPr>
                <w:lang w:val="fr-CA"/>
              </w:rPr>
              <w:t xml:space="preserve">:  </w:t>
            </w:r>
            <w:r w:rsidRPr="00EA6917">
              <w:rPr>
                <w:rStyle w:val="SCCAppellantForIndexChar"/>
                <w:rFonts w:eastAsiaTheme="minorHAnsi"/>
                <w:b w:val="0"/>
              </w:rPr>
              <w:t>R</w:t>
            </w:r>
            <w:proofErr w:type="gramEnd"/>
            <w:r w:rsidRPr="00EA6917">
              <w:rPr>
                <w:rStyle w:val="SCCAppellantForIndexChar"/>
                <w:rFonts w:eastAsiaTheme="minorHAnsi"/>
                <w:b w:val="0"/>
              </w:rPr>
              <w:t>.</w:t>
            </w:r>
            <w:r w:rsidRPr="00EA6917">
              <w:rPr>
                <w:b/>
                <w:lang w:val="fr-CA"/>
              </w:rPr>
              <w:t xml:space="preserve"> </w:t>
            </w:r>
            <w:r w:rsidRPr="00EA6917">
              <w:rPr>
                <w:i/>
                <w:lang w:val="fr-CA"/>
              </w:rPr>
              <w:t>c.</w:t>
            </w:r>
            <w:r w:rsidRPr="00EA6917">
              <w:rPr>
                <w:lang w:val="fr-CA"/>
              </w:rPr>
              <w:t xml:space="preserve"> Banwait</w:t>
            </w:r>
            <w:r w:rsidRPr="00EA6917">
              <w:rPr>
                <w:rStyle w:val="SCCRespondentForIndexChar"/>
                <w:rFonts w:eastAsiaTheme="minorHAnsi"/>
                <w:b w:val="0"/>
              </w:rPr>
              <w:t>, 2011 CSC 55, [2011] 3 R.C.S. 533</w:t>
            </w:r>
          </w:p>
        </w:tc>
        <w:tc>
          <w:tcPr>
            <w:tcW w:w="2808" w:type="dxa"/>
          </w:tcPr>
          <w:p w:rsidR="00EA6917" w:rsidRPr="001E12E2" w:rsidRDefault="00EA6917" w:rsidP="009F785C">
            <w:r w:rsidRPr="001E12E2">
              <w:rPr>
                <w:b/>
                <w:smallCaps/>
              </w:rPr>
              <w:t xml:space="preserve">Date </w:t>
            </w:r>
            <w:r w:rsidRPr="001E12E2">
              <w:t xml:space="preserve">: </w:t>
            </w:r>
            <w:r>
              <w:t>20111108</w:t>
            </w:r>
          </w:p>
          <w:p w:rsidR="00EA6917" w:rsidRPr="001E12E2" w:rsidRDefault="00EA6917" w:rsidP="009F785C">
            <w:r w:rsidRPr="001E12E2">
              <w:rPr>
                <w:b/>
                <w:smallCaps/>
              </w:rPr>
              <w:t>Do</w:t>
            </w:r>
            <w:r>
              <w:rPr>
                <w:b/>
                <w:smallCaps/>
              </w:rPr>
              <w:t>ssier</w:t>
            </w:r>
            <w:r w:rsidRPr="001E12E2">
              <w:rPr>
                <w:b/>
                <w:smallCaps/>
              </w:rPr>
              <w:t xml:space="preserve"> </w:t>
            </w:r>
            <w:r w:rsidRPr="001E12E2">
              <w:t xml:space="preserve">: </w:t>
            </w:r>
            <w:r>
              <w:t>34044</w:t>
            </w:r>
          </w:p>
        </w:tc>
      </w:tr>
    </w:tbl>
    <w:p w:rsidR="00EA6917" w:rsidRPr="001E12E2" w:rsidRDefault="00EA6917" w:rsidP="00EA6917"/>
    <w:p w:rsidR="00EA6917" w:rsidRDefault="00EA6917" w:rsidP="00EA6917">
      <w:pPr>
        <w:pStyle w:val="SCCLsocPrefix"/>
      </w:pPr>
      <w:r>
        <w:t>Entre :</w:t>
      </w:r>
    </w:p>
    <w:p w:rsidR="00EA6917" w:rsidRDefault="00EA6917" w:rsidP="00EA6917">
      <w:pPr>
        <w:pStyle w:val="SCCLsocParty"/>
        <w:jc w:val="center"/>
      </w:pPr>
      <w:r>
        <w:t xml:space="preserve">Sa </w:t>
      </w:r>
      <w:proofErr w:type="spellStart"/>
      <w:r>
        <w:t>Majesté</w:t>
      </w:r>
      <w:proofErr w:type="spellEnd"/>
      <w:r>
        <w:t xml:space="preserve"> la </w:t>
      </w:r>
      <w:proofErr w:type="spellStart"/>
      <w:r>
        <w:t>Reine</w:t>
      </w:r>
      <w:proofErr w:type="spellEnd"/>
    </w:p>
    <w:p w:rsidR="00EA6917" w:rsidRDefault="00EA6917" w:rsidP="00EA6917">
      <w:pPr>
        <w:pStyle w:val="SCCLsocPartyRole"/>
      </w:pPr>
      <w:r>
        <w:t>Appelante</w:t>
      </w:r>
    </w:p>
    <w:p w:rsidR="00EA6917" w:rsidRDefault="00EA6917" w:rsidP="00EA6917">
      <w:pPr>
        <w:pStyle w:val="SCCLsocVersus"/>
        <w:jc w:val="center"/>
      </w:pPr>
      <w:proofErr w:type="gramStart"/>
      <w:r>
        <w:t>et</w:t>
      </w:r>
      <w:proofErr w:type="gramEnd"/>
    </w:p>
    <w:p w:rsidR="00EA6917" w:rsidRDefault="00EA6917" w:rsidP="00EA6917">
      <w:pPr>
        <w:pStyle w:val="SCCLsocParty"/>
        <w:jc w:val="center"/>
      </w:pPr>
      <w:proofErr w:type="spellStart"/>
      <w:r>
        <w:t>Amandeep</w:t>
      </w:r>
      <w:proofErr w:type="spellEnd"/>
      <w:r>
        <w:t xml:space="preserve"> </w:t>
      </w:r>
      <w:proofErr w:type="spellStart"/>
      <w:r>
        <w:t>Banwait</w:t>
      </w:r>
      <w:proofErr w:type="spellEnd"/>
    </w:p>
    <w:p w:rsidR="00EA6917" w:rsidRDefault="00EA6917" w:rsidP="00EA6917">
      <w:pPr>
        <w:pStyle w:val="SCCLsocPartyRole"/>
      </w:pPr>
      <w:r>
        <w:t>Intimé</w:t>
      </w:r>
    </w:p>
    <w:p w:rsidR="00EA6917" w:rsidRDefault="00EA6917" w:rsidP="00EA6917"/>
    <w:p w:rsidR="00EA6917" w:rsidRPr="001E12E2" w:rsidRDefault="00EA6917" w:rsidP="00EA6917">
      <w:pPr>
        <w:jc w:val="center"/>
        <w:rPr>
          <w:b/>
          <w:smallCaps/>
        </w:rPr>
      </w:pPr>
      <w:proofErr w:type="spellStart"/>
      <w:r>
        <w:rPr>
          <w:b/>
          <w:smallCaps/>
        </w:rPr>
        <w:t>Traduction</w:t>
      </w:r>
      <w:proofErr w:type="spellEnd"/>
      <w:r>
        <w:rPr>
          <w:b/>
          <w:smallCaps/>
        </w:rPr>
        <w:t xml:space="preserve"> </w:t>
      </w:r>
      <w:proofErr w:type="spellStart"/>
      <w:r>
        <w:rPr>
          <w:b/>
          <w:smallCaps/>
        </w:rPr>
        <w:t>française</w:t>
      </w:r>
      <w:proofErr w:type="spellEnd"/>
      <w:r>
        <w:rPr>
          <w:b/>
          <w:smallCaps/>
        </w:rPr>
        <w:t xml:space="preserve"> </w:t>
      </w:r>
      <w:proofErr w:type="spellStart"/>
      <w:r>
        <w:rPr>
          <w:b/>
          <w:smallCaps/>
        </w:rPr>
        <w:t>o</w:t>
      </w:r>
      <w:r w:rsidRPr="001E12E2">
        <w:rPr>
          <w:b/>
          <w:smallCaps/>
        </w:rPr>
        <w:t>ffici</w:t>
      </w:r>
      <w:r>
        <w:rPr>
          <w:b/>
          <w:smallCaps/>
        </w:rPr>
        <w:t>elle</w:t>
      </w:r>
      <w:proofErr w:type="spellEnd"/>
    </w:p>
    <w:p w:rsidR="00EA6917" w:rsidRPr="001E12E2" w:rsidRDefault="00EA6917" w:rsidP="00EA6917"/>
    <w:p w:rsidR="00EA6917" w:rsidRPr="00EA6917" w:rsidRDefault="00EA6917" w:rsidP="00EA6917">
      <w:pPr>
        <w:rPr>
          <w:lang w:val="fr-CA"/>
        </w:rPr>
      </w:pPr>
      <w:r w:rsidRPr="00EA6917">
        <w:rPr>
          <w:b/>
          <w:smallCaps/>
          <w:lang w:val="fr-CA"/>
        </w:rPr>
        <w:t xml:space="preserve">Coram </w:t>
      </w:r>
      <w:r w:rsidRPr="00EA6917">
        <w:rPr>
          <w:b/>
          <w:lang w:val="fr-CA"/>
        </w:rPr>
        <w:t>:</w:t>
      </w:r>
      <w:r w:rsidRPr="00EA6917">
        <w:rPr>
          <w:lang w:val="fr-CA"/>
        </w:rPr>
        <w:t xml:space="preserve"> La juge en chef McLachlin et les juges LeBel, Deschamps, Fish, Abella, Rothstein, Cromwell, Moldaver et Karakatsanis</w:t>
      </w:r>
    </w:p>
    <w:p w:rsidR="00EA6917" w:rsidRPr="00EA6917" w:rsidRDefault="00EA6917" w:rsidP="00EA6917">
      <w:pPr>
        <w:rPr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3618"/>
        <w:gridCol w:w="5958"/>
      </w:tblGrid>
      <w:tr w:rsidR="00EA6917" w:rsidRPr="00EA6917" w:rsidTr="009F785C">
        <w:trPr>
          <w:cantSplit/>
        </w:trPr>
        <w:tc>
          <w:tcPr>
            <w:tcW w:w="3618" w:type="dxa"/>
          </w:tcPr>
          <w:p w:rsidR="00EA6917" w:rsidRPr="00EA6917" w:rsidRDefault="00EA6917" w:rsidP="009F785C">
            <w:pPr>
              <w:rPr>
                <w:lang w:val="fr-CA"/>
              </w:rPr>
            </w:pPr>
            <w:r w:rsidRPr="00EA6917">
              <w:rPr>
                <w:b/>
                <w:smallCaps/>
                <w:lang w:val="fr-CA"/>
              </w:rPr>
              <w:t>Motifs de jugement</w:t>
            </w:r>
            <w:r w:rsidRPr="00EA6917">
              <w:rPr>
                <w:lang w:val="fr-CA"/>
              </w:rPr>
              <w:t xml:space="preserve"> :</w:t>
            </w:r>
          </w:p>
          <w:p w:rsidR="00EA6917" w:rsidRPr="00EA6917" w:rsidRDefault="00EA6917" w:rsidP="009F785C">
            <w:pPr>
              <w:rPr>
                <w:lang w:val="fr-CA"/>
              </w:rPr>
            </w:pPr>
            <w:r w:rsidRPr="00EA6917">
              <w:rPr>
                <w:lang w:val="fr-CA"/>
              </w:rPr>
              <w:t>(par. 1 à 2)</w:t>
            </w:r>
          </w:p>
          <w:p w:rsidR="00EA6917" w:rsidRPr="00EA6917" w:rsidRDefault="00EA6917" w:rsidP="009F785C">
            <w:pPr>
              <w:rPr>
                <w:lang w:val="fr-CA"/>
              </w:rPr>
            </w:pPr>
          </w:p>
        </w:tc>
        <w:tc>
          <w:tcPr>
            <w:tcW w:w="5958" w:type="dxa"/>
          </w:tcPr>
          <w:p w:rsidR="00EA6917" w:rsidRPr="00EA6917" w:rsidRDefault="00EA6917" w:rsidP="009F785C">
            <w:pPr>
              <w:rPr>
                <w:lang w:val="fr-CA"/>
              </w:rPr>
            </w:pPr>
            <w:r w:rsidRPr="00EA6917">
              <w:rPr>
                <w:lang w:val="fr-CA"/>
              </w:rPr>
              <w:t>La juge en chef McLachlin (avec l’accord des juges LeBel, Deschamps, Fish, Abella, Rothstein, Cromwell, Moldaver et Karakatsanis)</w:t>
            </w:r>
          </w:p>
          <w:p w:rsidR="00EA6917" w:rsidRPr="00EA6917" w:rsidRDefault="00EA6917" w:rsidP="009F785C">
            <w:pPr>
              <w:rPr>
                <w:lang w:val="fr-CA"/>
              </w:rPr>
            </w:pPr>
          </w:p>
        </w:tc>
      </w:tr>
    </w:tbl>
    <w:p w:rsidR="00EA6917" w:rsidRPr="00EA6917" w:rsidRDefault="00EA6917" w:rsidP="00EA6917">
      <w:pPr>
        <w:rPr>
          <w:lang w:val="fr-CA"/>
        </w:rPr>
      </w:pPr>
      <w:r>
        <w:rPr>
          <w:noProof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26.75pt;margin-top:14.5pt;width:197.25pt;height:0;z-index:251660288;mso-position-horizontal-relative:text;mso-position-vertical-relative:text" o:connectortype="straight"/>
        </w:pict>
      </w:r>
    </w:p>
    <w:p w:rsidR="00EA6917" w:rsidRDefault="00EA6917">
      <w:pPr>
        <w:rPr>
          <w:lang w:val="fr-CA"/>
        </w:rPr>
      </w:pPr>
      <w:r>
        <w:rPr>
          <w:lang w:val="fr-CA"/>
        </w:rPr>
        <w:br w:type="page"/>
      </w:r>
    </w:p>
    <w:p w:rsidR="00EC15F2" w:rsidRPr="0093230B" w:rsidRDefault="00250A6A" w:rsidP="0093230B">
      <w:pPr>
        <w:spacing w:after="480" w:line="480" w:lineRule="auto"/>
        <w:jc w:val="both"/>
        <w:rPr>
          <w:smallCaps/>
          <w:lang w:val="fr-CA"/>
        </w:rPr>
      </w:pPr>
      <w:r w:rsidRPr="00250A6A">
        <w:rPr>
          <w:lang w:val="fr-CA"/>
        </w:rPr>
        <w:lastRenderedPageBreak/>
        <w:t xml:space="preserve">R. </w:t>
      </w:r>
      <w:r w:rsidRPr="00250A6A">
        <w:rPr>
          <w:i/>
          <w:lang w:val="fr-CA"/>
        </w:rPr>
        <w:t>c</w:t>
      </w:r>
      <w:r w:rsidRPr="00250A6A">
        <w:rPr>
          <w:lang w:val="fr-CA"/>
        </w:rPr>
        <w:t>. Banwait</w:t>
      </w:r>
      <w:r>
        <w:rPr>
          <w:smallCaps/>
          <w:lang w:val="fr-CA"/>
        </w:rPr>
        <w:t xml:space="preserve">, </w:t>
      </w:r>
      <w:r w:rsidRPr="00EA6917">
        <w:rPr>
          <w:lang w:val="fr-CA"/>
        </w:rPr>
        <w:t>2011 CSC 55, [2011] 3 R.C.S. 533</w:t>
      </w:r>
    </w:p>
    <w:p w:rsidR="00EC15F2" w:rsidRPr="0093230B" w:rsidRDefault="00616B70" w:rsidP="0093230B">
      <w:pPr>
        <w:pStyle w:val="SCCLsocParty"/>
        <w:tabs>
          <w:tab w:val="right" w:pos="8280"/>
        </w:tabs>
        <w:spacing w:after="480" w:line="480" w:lineRule="auto"/>
        <w:rPr>
          <w:lang w:val="fr-CA"/>
        </w:rPr>
      </w:pPr>
      <w:r w:rsidRPr="0093230B">
        <w:rPr>
          <w:lang w:val="fr-CA"/>
        </w:rPr>
        <w:t>Sa Majesté la Reine</w:t>
      </w:r>
      <w:r w:rsidR="00EC15F2" w:rsidRPr="0093230B">
        <w:rPr>
          <w:lang w:val="fr-CA"/>
        </w:rPr>
        <w:tab/>
      </w:r>
      <w:r w:rsidR="00EC15F2" w:rsidRPr="0093230B">
        <w:rPr>
          <w:b w:val="0"/>
          <w:i/>
          <w:lang w:val="fr-CA"/>
        </w:rPr>
        <w:t>Appelant</w:t>
      </w:r>
      <w:r w:rsidRPr="0093230B">
        <w:rPr>
          <w:b w:val="0"/>
          <w:i/>
          <w:lang w:val="fr-CA"/>
        </w:rPr>
        <w:t>e</w:t>
      </w:r>
    </w:p>
    <w:p w:rsidR="00EC15F2" w:rsidRPr="0093230B" w:rsidRDefault="00EC15F2" w:rsidP="0093230B">
      <w:pPr>
        <w:pStyle w:val="SCCLsocVersus"/>
        <w:spacing w:after="480" w:line="480" w:lineRule="auto"/>
        <w:rPr>
          <w:lang w:val="fr-CA"/>
        </w:rPr>
      </w:pPr>
      <w:proofErr w:type="gramStart"/>
      <w:r w:rsidRPr="0093230B">
        <w:rPr>
          <w:lang w:val="fr-CA"/>
        </w:rPr>
        <w:t>c</w:t>
      </w:r>
      <w:proofErr w:type="gramEnd"/>
      <w:r w:rsidRPr="0093230B">
        <w:rPr>
          <w:lang w:val="fr-CA"/>
        </w:rPr>
        <w:t>.</w:t>
      </w:r>
      <w:r w:rsidR="0093230B" w:rsidRPr="0093230B">
        <w:rPr>
          <w:i w:val="0"/>
          <w:lang w:val="fr-CA"/>
        </w:rPr>
        <w:t xml:space="preserve"> </w:t>
      </w:r>
    </w:p>
    <w:p w:rsidR="00EC15F2" w:rsidRPr="0093230B" w:rsidRDefault="00616B70" w:rsidP="0093230B">
      <w:pPr>
        <w:pStyle w:val="SCCLsocParty"/>
        <w:tabs>
          <w:tab w:val="right" w:pos="8280"/>
        </w:tabs>
        <w:spacing w:after="480" w:line="480" w:lineRule="auto"/>
        <w:rPr>
          <w:lang w:val="fr-CA"/>
        </w:rPr>
      </w:pPr>
      <w:proofErr w:type="spellStart"/>
      <w:r w:rsidRPr="0093230B">
        <w:rPr>
          <w:lang w:val="fr-CA"/>
        </w:rPr>
        <w:t>Amandeep</w:t>
      </w:r>
      <w:proofErr w:type="spellEnd"/>
      <w:r w:rsidRPr="0093230B">
        <w:rPr>
          <w:lang w:val="fr-CA"/>
        </w:rPr>
        <w:t xml:space="preserve"> Banwait</w:t>
      </w:r>
      <w:r w:rsidR="00EC15F2" w:rsidRPr="0093230B">
        <w:rPr>
          <w:i/>
          <w:lang w:val="fr-CA"/>
        </w:rPr>
        <w:tab/>
      </w:r>
      <w:r w:rsidR="00EC15F2" w:rsidRPr="0093230B">
        <w:rPr>
          <w:b w:val="0"/>
          <w:i/>
          <w:lang w:val="fr-CA"/>
        </w:rPr>
        <w:t>Intimé</w:t>
      </w:r>
    </w:p>
    <w:p w:rsidR="00EC15F2" w:rsidRPr="0093230B" w:rsidRDefault="00EC15F2" w:rsidP="0093230B">
      <w:pPr>
        <w:spacing w:after="480" w:line="480" w:lineRule="auto"/>
        <w:jc w:val="both"/>
        <w:rPr>
          <w:b/>
          <w:lang w:val="fr-CA"/>
        </w:rPr>
      </w:pPr>
      <w:r w:rsidRPr="0093230B">
        <w:rPr>
          <w:b/>
          <w:lang w:val="fr-CA"/>
        </w:rPr>
        <w:t xml:space="preserve">Répertorié : R. </w:t>
      </w:r>
      <w:r w:rsidRPr="0093230B">
        <w:rPr>
          <w:b/>
          <w:i/>
          <w:lang w:val="fr-CA"/>
        </w:rPr>
        <w:t>c</w:t>
      </w:r>
      <w:r w:rsidRPr="0093230B">
        <w:rPr>
          <w:b/>
          <w:lang w:val="fr-CA"/>
        </w:rPr>
        <w:t xml:space="preserve">. </w:t>
      </w:r>
      <w:r w:rsidR="00616B70" w:rsidRPr="0093230B">
        <w:rPr>
          <w:b/>
          <w:lang w:val="fr-CA"/>
        </w:rPr>
        <w:t>Banwait</w:t>
      </w:r>
    </w:p>
    <w:p w:rsidR="00EC15F2" w:rsidRPr="0093230B" w:rsidRDefault="00EC15F2" w:rsidP="0093230B">
      <w:pPr>
        <w:pStyle w:val="SCCSystemYear"/>
        <w:spacing w:after="480" w:line="480" w:lineRule="auto"/>
        <w:jc w:val="both"/>
        <w:rPr>
          <w:lang w:val="fr-CA"/>
        </w:rPr>
      </w:pPr>
      <w:r w:rsidRPr="0093230B">
        <w:rPr>
          <w:lang w:val="fr-CA"/>
        </w:rPr>
        <w:t>2011 CSC </w:t>
      </w:r>
      <w:r w:rsidR="00616B70" w:rsidRPr="0093230B">
        <w:rPr>
          <w:lang w:val="fr-CA"/>
        </w:rPr>
        <w:t>55</w:t>
      </w:r>
    </w:p>
    <w:p w:rsidR="00EC15F2" w:rsidRPr="0093230B" w:rsidRDefault="00EC15F2" w:rsidP="0093230B">
      <w:pPr>
        <w:spacing w:after="480" w:line="480" w:lineRule="auto"/>
        <w:jc w:val="both"/>
        <w:rPr>
          <w:lang w:val="fr-CA"/>
        </w:rPr>
      </w:pPr>
      <w:r w:rsidRPr="0093230B">
        <w:rPr>
          <w:lang w:val="fr-CA"/>
        </w:rPr>
        <w:t>N</w:t>
      </w:r>
      <w:r w:rsidRPr="0093230B">
        <w:rPr>
          <w:vertAlign w:val="superscript"/>
          <w:lang w:val="fr-CA"/>
        </w:rPr>
        <w:t>o</w:t>
      </w:r>
      <w:r w:rsidR="00616B70" w:rsidRPr="0093230B">
        <w:rPr>
          <w:lang w:val="fr-CA"/>
        </w:rPr>
        <w:t xml:space="preserve"> du greffe : 34044</w:t>
      </w:r>
      <w:r w:rsidRPr="0093230B">
        <w:rPr>
          <w:lang w:val="fr-CA"/>
        </w:rPr>
        <w:t>.</w:t>
      </w:r>
    </w:p>
    <w:p w:rsidR="00EC15F2" w:rsidRPr="0093230B" w:rsidRDefault="00EC15F2" w:rsidP="0093230B">
      <w:pPr>
        <w:spacing w:after="480" w:line="480" w:lineRule="auto"/>
        <w:jc w:val="both"/>
        <w:rPr>
          <w:lang w:val="fr-CA"/>
        </w:rPr>
      </w:pPr>
      <w:r w:rsidRPr="0093230B">
        <w:rPr>
          <w:lang w:val="fr-CA"/>
        </w:rPr>
        <w:t>2011: </w:t>
      </w:r>
      <w:r w:rsidR="00616B70" w:rsidRPr="0093230B">
        <w:rPr>
          <w:lang w:val="fr-CA"/>
        </w:rPr>
        <w:t>8 novembre</w:t>
      </w:r>
      <w:r w:rsidRPr="0093230B">
        <w:rPr>
          <w:lang w:val="fr-CA"/>
        </w:rPr>
        <w:t>.</w:t>
      </w:r>
    </w:p>
    <w:p w:rsidR="00EC15F2" w:rsidRPr="0093230B" w:rsidRDefault="00EC15F2" w:rsidP="0093230B">
      <w:pPr>
        <w:spacing w:after="720"/>
        <w:jc w:val="both"/>
        <w:rPr>
          <w:lang w:val="fr-CA"/>
        </w:rPr>
      </w:pPr>
      <w:r w:rsidRPr="0093230B">
        <w:rPr>
          <w:lang w:val="fr-CA"/>
        </w:rPr>
        <w:t xml:space="preserve">Présents : La juge en chef </w:t>
      </w:r>
      <w:proofErr w:type="spellStart"/>
      <w:r w:rsidRPr="0093230B">
        <w:rPr>
          <w:lang w:val="fr-CA"/>
        </w:rPr>
        <w:t>McLachlin</w:t>
      </w:r>
      <w:proofErr w:type="spellEnd"/>
      <w:r w:rsidRPr="0093230B">
        <w:rPr>
          <w:lang w:val="fr-CA"/>
        </w:rPr>
        <w:t xml:space="preserve"> et les juges </w:t>
      </w:r>
      <w:proofErr w:type="spellStart"/>
      <w:r w:rsidRPr="0093230B">
        <w:rPr>
          <w:lang w:val="fr-CA"/>
        </w:rPr>
        <w:t>LeBel</w:t>
      </w:r>
      <w:proofErr w:type="spellEnd"/>
      <w:r w:rsidRPr="0093230B">
        <w:rPr>
          <w:lang w:val="fr-CA"/>
        </w:rPr>
        <w:t>,</w:t>
      </w:r>
      <w:r w:rsidR="00616B70" w:rsidRPr="0093230B">
        <w:rPr>
          <w:lang w:val="fr-CA"/>
        </w:rPr>
        <w:t xml:space="preserve"> Deschamps,</w:t>
      </w:r>
      <w:r w:rsidRPr="0093230B">
        <w:rPr>
          <w:lang w:val="fr-CA"/>
        </w:rPr>
        <w:t xml:space="preserve"> Fish,</w:t>
      </w:r>
      <w:r w:rsidR="00616B70" w:rsidRPr="0093230B">
        <w:rPr>
          <w:lang w:val="fr-CA"/>
        </w:rPr>
        <w:t xml:space="preserve"> Abella,</w:t>
      </w:r>
      <w:r w:rsidRPr="0093230B">
        <w:rPr>
          <w:lang w:val="fr-CA"/>
        </w:rPr>
        <w:t xml:space="preserve"> </w:t>
      </w:r>
      <w:proofErr w:type="spellStart"/>
      <w:r w:rsidRPr="0093230B">
        <w:rPr>
          <w:lang w:val="fr-CA"/>
        </w:rPr>
        <w:t>Rothstein</w:t>
      </w:r>
      <w:proofErr w:type="spellEnd"/>
      <w:r w:rsidR="00616B70" w:rsidRPr="0093230B">
        <w:rPr>
          <w:lang w:val="fr-CA"/>
        </w:rPr>
        <w:t xml:space="preserve">, </w:t>
      </w:r>
      <w:r w:rsidRPr="0093230B">
        <w:rPr>
          <w:lang w:val="fr-CA"/>
        </w:rPr>
        <w:t>Cromwell</w:t>
      </w:r>
      <w:r w:rsidR="00616B70" w:rsidRPr="0093230B">
        <w:rPr>
          <w:lang w:val="fr-CA"/>
        </w:rPr>
        <w:t xml:space="preserve">, </w:t>
      </w:r>
      <w:proofErr w:type="spellStart"/>
      <w:r w:rsidR="00616B70" w:rsidRPr="0093230B">
        <w:rPr>
          <w:lang w:val="fr-CA"/>
        </w:rPr>
        <w:t>Moldaver</w:t>
      </w:r>
      <w:proofErr w:type="spellEnd"/>
      <w:r w:rsidR="00616B70" w:rsidRPr="0093230B">
        <w:rPr>
          <w:lang w:val="fr-CA"/>
        </w:rPr>
        <w:t xml:space="preserve"> et </w:t>
      </w:r>
      <w:proofErr w:type="spellStart"/>
      <w:r w:rsidR="00616B70" w:rsidRPr="0093230B">
        <w:rPr>
          <w:lang w:val="fr-CA"/>
        </w:rPr>
        <w:t>Karakatsanis</w:t>
      </w:r>
      <w:proofErr w:type="spellEnd"/>
      <w:r w:rsidRPr="0093230B">
        <w:rPr>
          <w:lang w:val="fr-CA"/>
        </w:rPr>
        <w:t>.</w:t>
      </w:r>
    </w:p>
    <w:p w:rsidR="00EC15F2" w:rsidRPr="0093230B" w:rsidRDefault="00EC15F2" w:rsidP="0093230B">
      <w:pPr>
        <w:spacing w:after="480" w:line="480" w:lineRule="auto"/>
        <w:jc w:val="both"/>
        <w:rPr>
          <w:smallCaps/>
          <w:szCs w:val="24"/>
          <w:lang w:val="fr-CA"/>
        </w:rPr>
      </w:pPr>
      <w:r w:rsidRPr="0093230B">
        <w:rPr>
          <w:smallCaps/>
          <w:szCs w:val="24"/>
          <w:lang w:val="fr-CA"/>
        </w:rPr>
        <w:t xml:space="preserve">en appel de la cour d’appel de </w:t>
      </w:r>
      <w:r w:rsidR="00094CA7" w:rsidRPr="0093230B">
        <w:rPr>
          <w:smallCaps/>
          <w:szCs w:val="24"/>
          <w:lang w:val="fr-CA"/>
        </w:rPr>
        <w:t>l’</w:t>
      </w:r>
      <w:proofErr w:type="spellStart"/>
      <w:r w:rsidR="00094CA7" w:rsidRPr="0093230B">
        <w:rPr>
          <w:smallCaps/>
          <w:szCs w:val="24"/>
          <w:lang w:val="fr-CA"/>
        </w:rPr>
        <w:t>ontario</w:t>
      </w:r>
      <w:proofErr w:type="spellEnd"/>
    </w:p>
    <w:p w:rsidR="00F234F3" w:rsidRPr="0093230B" w:rsidRDefault="00F234F3" w:rsidP="0093230B">
      <w:pPr>
        <w:pStyle w:val="SCCNormalDoubleSpacing"/>
        <w:tabs>
          <w:tab w:val="left" w:pos="1170"/>
        </w:tabs>
        <w:spacing w:after="480"/>
        <w:rPr>
          <w:i/>
          <w:lang w:val="fr-FR"/>
        </w:rPr>
      </w:pPr>
      <w:r w:rsidRPr="0093230B">
        <w:rPr>
          <w:lang w:val="fr-FR"/>
        </w:rPr>
        <w:tab/>
      </w:r>
      <w:r w:rsidR="00D06739" w:rsidRPr="0093230B">
        <w:rPr>
          <w:i/>
          <w:lang w:val="fr-FR"/>
        </w:rPr>
        <w:t>Droit crimine</w:t>
      </w:r>
      <w:r w:rsidR="0015795D" w:rsidRPr="0093230B">
        <w:rPr>
          <w:i/>
          <w:lang w:val="fr-FR"/>
        </w:rPr>
        <w:t>l</w:t>
      </w:r>
      <w:r w:rsidR="00D06739" w:rsidRPr="0093230B">
        <w:rPr>
          <w:i/>
          <w:lang w:val="fr-FR"/>
        </w:rPr>
        <w:t xml:space="preserve"> </w:t>
      </w:r>
      <w:r w:rsidR="00A15125" w:rsidRPr="0093230B">
        <w:rPr>
          <w:i/>
          <w:iCs/>
          <w:szCs w:val="24"/>
          <w:lang w:val="fr-CA"/>
        </w:rPr>
        <w:t xml:space="preserve">— </w:t>
      </w:r>
      <w:r w:rsidR="00D06739" w:rsidRPr="0093230B">
        <w:rPr>
          <w:i/>
          <w:lang w:val="fr-FR"/>
        </w:rPr>
        <w:t xml:space="preserve">Procès </w:t>
      </w:r>
      <w:r w:rsidR="00A15125" w:rsidRPr="0093230B">
        <w:rPr>
          <w:i/>
          <w:iCs/>
          <w:szCs w:val="24"/>
          <w:lang w:val="fr-CA"/>
        </w:rPr>
        <w:t xml:space="preserve">— </w:t>
      </w:r>
      <w:r w:rsidR="00D06739" w:rsidRPr="0093230B">
        <w:rPr>
          <w:i/>
          <w:lang w:val="fr-FR"/>
        </w:rPr>
        <w:t xml:space="preserve">Exposé au jury </w:t>
      </w:r>
      <w:r w:rsidR="00A15125" w:rsidRPr="0093230B">
        <w:rPr>
          <w:i/>
          <w:iCs/>
          <w:szCs w:val="24"/>
          <w:lang w:val="fr-CA"/>
        </w:rPr>
        <w:t xml:space="preserve">— </w:t>
      </w:r>
      <w:r w:rsidR="00D06739" w:rsidRPr="0093230B">
        <w:rPr>
          <w:i/>
          <w:lang w:val="fr-FR"/>
        </w:rPr>
        <w:t xml:space="preserve">Meurtre au premier degré </w:t>
      </w:r>
      <w:r w:rsidR="00D56774" w:rsidRPr="0093230B">
        <w:rPr>
          <w:i/>
          <w:iCs/>
          <w:szCs w:val="24"/>
          <w:lang w:val="fr-CA"/>
        </w:rPr>
        <w:t xml:space="preserve">— </w:t>
      </w:r>
      <w:r w:rsidR="00D06739" w:rsidRPr="0093230B">
        <w:rPr>
          <w:i/>
          <w:lang w:val="fr-FR"/>
        </w:rPr>
        <w:t xml:space="preserve">Directives adéquates du juge du procès au jury quant au </w:t>
      </w:r>
      <w:r w:rsidR="00A93B7C" w:rsidRPr="0093230B">
        <w:rPr>
          <w:i/>
          <w:lang w:val="fr-FR"/>
        </w:rPr>
        <w:t xml:space="preserve">lien requis entre le meurtre et les </w:t>
      </w:r>
      <w:r w:rsidR="005F6B1E" w:rsidRPr="0093230B">
        <w:rPr>
          <w:i/>
          <w:lang w:val="fr-FR"/>
        </w:rPr>
        <w:t xml:space="preserve">notions de planification et de </w:t>
      </w:r>
      <w:r w:rsidR="00A93B7C" w:rsidRPr="0093230B">
        <w:rPr>
          <w:i/>
          <w:lang w:val="fr-FR"/>
        </w:rPr>
        <w:t>délibération</w:t>
      </w:r>
      <w:r w:rsidRPr="0093230B">
        <w:rPr>
          <w:i/>
          <w:lang w:val="fr-FR"/>
        </w:rPr>
        <w:t>.</w:t>
      </w:r>
    </w:p>
    <w:p w:rsidR="00EC15F2" w:rsidRPr="0093230B" w:rsidRDefault="00EC15F2" w:rsidP="0093230B">
      <w:pPr>
        <w:pStyle w:val="SCCNormalDoubleSpacing"/>
        <w:tabs>
          <w:tab w:val="left" w:pos="1170"/>
        </w:tabs>
        <w:spacing w:after="480"/>
        <w:rPr>
          <w:lang w:val="fr-CA"/>
        </w:rPr>
      </w:pPr>
      <w:r w:rsidRPr="0093230B">
        <w:rPr>
          <w:lang w:val="fr-CA"/>
        </w:rPr>
        <w:lastRenderedPageBreak/>
        <w:tab/>
        <w:t xml:space="preserve">POURVOI contre un arrêt de la Cour d’appel de </w:t>
      </w:r>
      <w:r w:rsidR="00094CA7" w:rsidRPr="0093230B">
        <w:rPr>
          <w:lang w:val="fr-CA"/>
        </w:rPr>
        <w:t>l’Ontario</w:t>
      </w:r>
      <w:r w:rsidRPr="0093230B">
        <w:rPr>
          <w:lang w:val="fr-CA"/>
        </w:rPr>
        <w:t xml:space="preserve"> (les juges </w:t>
      </w:r>
      <w:proofErr w:type="spellStart"/>
      <w:r w:rsidR="00094CA7" w:rsidRPr="0093230B">
        <w:rPr>
          <w:lang w:val="fr-CA"/>
        </w:rPr>
        <w:t>Laskin</w:t>
      </w:r>
      <w:proofErr w:type="spellEnd"/>
      <w:r w:rsidRPr="0093230B">
        <w:rPr>
          <w:lang w:val="fr-CA"/>
        </w:rPr>
        <w:t xml:space="preserve">, </w:t>
      </w:r>
      <w:proofErr w:type="spellStart"/>
      <w:r w:rsidR="00094CA7" w:rsidRPr="0093230B">
        <w:rPr>
          <w:lang w:val="fr-CA"/>
        </w:rPr>
        <w:t>MacPherson</w:t>
      </w:r>
      <w:proofErr w:type="spellEnd"/>
      <w:r w:rsidRPr="0093230B">
        <w:rPr>
          <w:lang w:val="fr-CA"/>
        </w:rPr>
        <w:t xml:space="preserve"> et </w:t>
      </w:r>
      <w:r w:rsidR="00094CA7" w:rsidRPr="0093230B">
        <w:rPr>
          <w:lang w:val="fr-CA"/>
        </w:rPr>
        <w:t>Simmons</w:t>
      </w:r>
      <w:r w:rsidRPr="0093230B">
        <w:rPr>
          <w:lang w:val="fr-CA"/>
        </w:rPr>
        <w:t xml:space="preserve">), </w:t>
      </w:r>
      <w:r w:rsidR="00094CA7" w:rsidRPr="0093230B">
        <w:rPr>
          <w:lang w:val="fr-CA"/>
        </w:rPr>
        <w:t>2010 ONCA 869, 272</w:t>
      </w:r>
      <w:r w:rsidR="00A15125" w:rsidRPr="0093230B">
        <w:rPr>
          <w:lang w:val="fr-CA"/>
        </w:rPr>
        <w:t xml:space="preserve"> O.A.C. 130, 265 C.C.C. (3d) 201, 82 C.R. (6th) 87</w:t>
      </w:r>
      <w:r w:rsidR="00094CA7" w:rsidRPr="0093230B">
        <w:rPr>
          <w:lang w:val="fr-CA"/>
        </w:rPr>
        <w:t xml:space="preserve">, [2010] O.J. No. 5472 (QL), 2010 </w:t>
      </w:r>
      <w:proofErr w:type="spellStart"/>
      <w:r w:rsidR="00094CA7" w:rsidRPr="0093230B">
        <w:rPr>
          <w:lang w:val="fr-CA"/>
        </w:rPr>
        <w:t>CarswellOnt</w:t>
      </w:r>
      <w:proofErr w:type="spellEnd"/>
      <w:r w:rsidR="00094CA7" w:rsidRPr="0093230B">
        <w:rPr>
          <w:lang w:val="fr-CA"/>
        </w:rPr>
        <w:t xml:space="preserve"> 9673</w:t>
      </w:r>
      <w:r w:rsidR="00D06739" w:rsidRPr="0093230B">
        <w:rPr>
          <w:lang w:val="fr-CA"/>
        </w:rPr>
        <w:t xml:space="preserve">, qui a </w:t>
      </w:r>
      <w:r w:rsidR="00A15125" w:rsidRPr="0093230B">
        <w:rPr>
          <w:lang w:val="fr-CA"/>
        </w:rPr>
        <w:t>annul</w:t>
      </w:r>
      <w:r w:rsidR="00D06739" w:rsidRPr="0093230B">
        <w:rPr>
          <w:lang w:val="fr-CA"/>
        </w:rPr>
        <w:t>é la déclaration de culpabilité prononcée contre l’accusé pour meurtre au premier degré et y a substitué un</w:t>
      </w:r>
      <w:r w:rsidR="0015795D" w:rsidRPr="0093230B">
        <w:rPr>
          <w:lang w:val="fr-CA"/>
        </w:rPr>
        <w:t>e</w:t>
      </w:r>
      <w:r w:rsidR="00D06739" w:rsidRPr="0093230B">
        <w:rPr>
          <w:lang w:val="fr-CA"/>
        </w:rPr>
        <w:t xml:space="preserve"> déclaration de culpabilité pour meurtre au second degré. </w:t>
      </w:r>
      <w:r w:rsidR="00094CA7" w:rsidRPr="0093230B">
        <w:rPr>
          <w:lang w:val="fr-CA"/>
        </w:rPr>
        <w:t>Pourvoi accueilli.</w:t>
      </w:r>
    </w:p>
    <w:p w:rsidR="00EC15F2" w:rsidRPr="0093230B" w:rsidRDefault="00EC15F2" w:rsidP="0093230B">
      <w:pPr>
        <w:pStyle w:val="SCCNormalDoubleSpacing"/>
        <w:tabs>
          <w:tab w:val="left" w:pos="1170"/>
          <w:tab w:val="left" w:pos="1260"/>
        </w:tabs>
        <w:spacing w:after="480"/>
        <w:rPr>
          <w:lang w:val="fr-CA"/>
        </w:rPr>
      </w:pPr>
      <w:r w:rsidRPr="0093230B">
        <w:rPr>
          <w:i/>
          <w:lang w:val="fr-CA"/>
        </w:rPr>
        <w:tab/>
      </w:r>
      <w:r w:rsidR="00094CA7" w:rsidRPr="0093230B">
        <w:rPr>
          <w:i/>
          <w:lang w:val="fr-CA"/>
        </w:rPr>
        <w:t>Gillian E. Roberts</w:t>
      </w:r>
      <w:r w:rsidR="00A15125" w:rsidRPr="0093230B">
        <w:rPr>
          <w:i/>
          <w:lang w:val="fr-CA"/>
        </w:rPr>
        <w:t xml:space="preserve"> </w:t>
      </w:r>
      <w:r w:rsidR="00A15125" w:rsidRPr="004167C2">
        <w:rPr>
          <w:lang w:val="fr-CA"/>
        </w:rPr>
        <w:t xml:space="preserve">et </w:t>
      </w:r>
      <w:r w:rsidR="00A15125" w:rsidRPr="0093230B">
        <w:rPr>
          <w:i/>
          <w:lang w:val="fr-CA"/>
        </w:rPr>
        <w:t>Stacey D. Young</w:t>
      </w:r>
      <w:r w:rsidRPr="0093230B">
        <w:rPr>
          <w:lang w:val="fr-CA"/>
        </w:rPr>
        <w:t>, pour l’appelant</w:t>
      </w:r>
      <w:r w:rsidR="00602062" w:rsidRPr="0093230B">
        <w:rPr>
          <w:lang w:val="fr-CA"/>
        </w:rPr>
        <w:t>e</w:t>
      </w:r>
      <w:r w:rsidRPr="0093230B">
        <w:rPr>
          <w:lang w:val="fr-CA"/>
        </w:rPr>
        <w:t>.</w:t>
      </w:r>
    </w:p>
    <w:p w:rsidR="00EC15F2" w:rsidRPr="0093230B" w:rsidRDefault="00EC15F2" w:rsidP="0093230B">
      <w:pPr>
        <w:pStyle w:val="SCCNormalDoubleSpacing"/>
        <w:tabs>
          <w:tab w:val="left" w:pos="1170"/>
        </w:tabs>
        <w:spacing w:after="480"/>
        <w:rPr>
          <w:lang w:val="fr-CA"/>
        </w:rPr>
      </w:pPr>
      <w:r w:rsidRPr="0093230B">
        <w:rPr>
          <w:i/>
          <w:lang w:val="fr-CA"/>
        </w:rPr>
        <w:tab/>
      </w:r>
      <w:r w:rsidR="00094CA7" w:rsidRPr="0093230B">
        <w:rPr>
          <w:i/>
          <w:lang w:val="fr-CA"/>
        </w:rPr>
        <w:t>Philip Campbell</w:t>
      </w:r>
      <w:r w:rsidRPr="0093230B">
        <w:rPr>
          <w:lang w:val="fr-CA"/>
        </w:rPr>
        <w:t>,</w:t>
      </w:r>
      <w:r w:rsidR="00602062" w:rsidRPr="0093230B">
        <w:rPr>
          <w:lang w:val="fr-CA"/>
        </w:rPr>
        <w:t xml:space="preserve"> pour l’intimé</w:t>
      </w:r>
      <w:r w:rsidRPr="0093230B">
        <w:rPr>
          <w:lang w:val="fr-CA"/>
        </w:rPr>
        <w:t>.</w:t>
      </w:r>
    </w:p>
    <w:p w:rsidR="00EC15F2" w:rsidRPr="0093230B" w:rsidRDefault="00EC15F2" w:rsidP="0093230B">
      <w:pPr>
        <w:pStyle w:val="SCCNormalDoubleSpacing"/>
        <w:tabs>
          <w:tab w:val="left" w:pos="1170"/>
        </w:tabs>
        <w:spacing w:after="480"/>
        <w:rPr>
          <w:szCs w:val="24"/>
          <w:lang w:val="fr-CA"/>
        </w:rPr>
      </w:pPr>
      <w:r w:rsidRPr="0093230B">
        <w:rPr>
          <w:szCs w:val="24"/>
          <w:lang w:val="fr-CA"/>
        </w:rPr>
        <w:tab/>
        <w:t xml:space="preserve">Version française du jugement de la </w:t>
      </w:r>
      <w:r w:rsidR="006D451B" w:rsidRPr="0093230B">
        <w:rPr>
          <w:szCs w:val="24"/>
          <w:lang w:val="fr-CA"/>
        </w:rPr>
        <w:t xml:space="preserve">Cour </w:t>
      </w:r>
      <w:r w:rsidRPr="0093230B">
        <w:rPr>
          <w:szCs w:val="24"/>
          <w:lang w:val="fr-CA"/>
        </w:rPr>
        <w:t>rendu oralement par</w:t>
      </w:r>
    </w:p>
    <w:p w:rsidR="006D451B" w:rsidRPr="0093230B" w:rsidRDefault="00EC15F2" w:rsidP="006D451B">
      <w:pPr>
        <w:pStyle w:val="ParaNoNdepar-AltN"/>
        <w:tabs>
          <w:tab w:val="clear" w:pos="1166"/>
          <w:tab w:val="left" w:pos="1170"/>
        </w:tabs>
        <w:rPr>
          <w:lang w:val="fr-CA"/>
        </w:rPr>
      </w:pPr>
      <w:r w:rsidRPr="0093230B">
        <w:rPr>
          <w:smallCaps/>
          <w:lang w:val="fr-CA"/>
        </w:rPr>
        <w:t>La Juge en chef</w:t>
      </w:r>
      <w:r w:rsidRPr="0093230B">
        <w:rPr>
          <w:lang w:val="fr-CA"/>
        </w:rPr>
        <w:t xml:space="preserve"> — </w:t>
      </w:r>
      <w:r w:rsidR="006D451B" w:rsidRPr="0093230B">
        <w:rPr>
          <w:lang w:val="fr-CA"/>
        </w:rPr>
        <w:t xml:space="preserve">Nous sommes tous d’avis d’accueillir l’appel pour les motifs exposés par le juge </w:t>
      </w:r>
      <w:proofErr w:type="spellStart"/>
      <w:r w:rsidR="006D451B" w:rsidRPr="0093230B">
        <w:rPr>
          <w:lang w:val="fr-CA"/>
        </w:rPr>
        <w:t>MacPherson</w:t>
      </w:r>
      <w:proofErr w:type="spellEnd"/>
      <w:r w:rsidR="006D451B" w:rsidRPr="0093230B">
        <w:rPr>
          <w:lang w:val="fr-CA"/>
        </w:rPr>
        <w:t xml:space="preserve"> de la Cour d’appel aux par. 178-189 de sa d</w:t>
      </w:r>
      <w:r w:rsidR="00A15125" w:rsidRPr="0093230B">
        <w:rPr>
          <w:lang w:val="fr-CA"/>
        </w:rPr>
        <w:t>issidence</w:t>
      </w:r>
      <w:r w:rsidR="00BA7ED8" w:rsidRPr="0093230B">
        <w:rPr>
          <w:lang w:val="fr-CA"/>
        </w:rPr>
        <w:t xml:space="preserve"> (2010 ONCA 869, 272 O.A.C. 130)</w:t>
      </w:r>
      <w:r w:rsidR="006D451B" w:rsidRPr="0093230B">
        <w:rPr>
          <w:lang w:val="fr-CA"/>
        </w:rPr>
        <w:t>.</w:t>
      </w:r>
    </w:p>
    <w:p w:rsidR="006D451B" w:rsidRPr="0093230B" w:rsidRDefault="006D451B" w:rsidP="006D451B">
      <w:pPr>
        <w:pStyle w:val="ParaNoNdepar-AltN"/>
        <w:tabs>
          <w:tab w:val="clear" w:pos="1166"/>
          <w:tab w:val="left" w:pos="1170"/>
        </w:tabs>
        <w:rPr>
          <w:lang w:val="fr-CA"/>
        </w:rPr>
      </w:pPr>
      <w:r w:rsidRPr="0093230B">
        <w:rPr>
          <w:lang w:val="fr-CA"/>
        </w:rPr>
        <w:t>L’appel est accueilli et la déclaration de culpabilité pour meurtre au premier degré est rétablie.</w:t>
      </w:r>
    </w:p>
    <w:p w:rsidR="00EC15F2" w:rsidRPr="0093230B" w:rsidRDefault="00EC15F2" w:rsidP="00AD2A11">
      <w:pPr>
        <w:pStyle w:val="SCCNormalDoubleSpacing"/>
        <w:tabs>
          <w:tab w:val="left" w:pos="1170"/>
        </w:tabs>
        <w:spacing w:after="480"/>
        <w:rPr>
          <w:i/>
          <w:lang w:val="fr-CA"/>
        </w:rPr>
      </w:pPr>
      <w:r w:rsidRPr="00631065">
        <w:rPr>
          <w:i/>
          <w:lang w:val="fr-CA"/>
        </w:rPr>
        <w:tab/>
      </w:r>
      <w:r w:rsidRPr="0093230B">
        <w:rPr>
          <w:i/>
          <w:lang w:val="fr-CA"/>
        </w:rPr>
        <w:t>Jugement en conséquence.</w:t>
      </w:r>
    </w:p>
    <w:p w:rsidR="00EC15F2" w:rsidRPr="0093230B" w:rsidRDefault="00631065" w:rsidP="00631065">
      <w:pPr>
        <w:pStyle w:val="SCCNormalDoubleSpacing"/>
        <w:tabs>
          <w:tab w:val="left" w:pos="1170"/>
        </w:tabs>
        <w:spacing w:after="480"/>
        <w:rPr>
          <w:lang w:val="fr-CA"/>
        </w:rPr>
      </w:pPr>
      <w:r>
        <w:rPr>
          <w:i/>
          <w:lang w:val="fr-CA"/>
        </w:rPr>
        <w:tab/>
      </w:r>
      <w:r w:rsidR="008C6B8D" w:rsidRPr="00631065">
        <w:rPr>
          <w:i/>
          <w:lang w:val="fr-CA"/>
        </w:rPr>
        <w:t>Procureur</w:t>
      </w:r>
      <w:r w:rsidR="00EC15F2" w:rsidRPr="0093230B">
        <w:rPr>
          <w:lang w:val="fr-CA"/>
        </w:rPr>
        <w:t xml:space="preserve"> de l’appelant</w:t>
      </w:r>
      <w:r w:rsidR="006D451B" w:rsidRPr="0093230B">
        <w:rPr>
          <w:lang w:val="fr-CA"/>
        </w:rPr>
        <w:t>e</w:t>
      </w:r>
      <w:r w:rsidR="00EC15F2" w:rsidRPr="0093230B">
        <w:rPr>
          <w:lang w:val="fr-CA"/>
        </w:rPr>
        <w:t> : </w:t>
      </w:r>
      <w:r w:rsidR="006D451B" w:rsidRPr="0093230B">
        <w:rPr>
          <w:lang w:val="fr-CA"/>
        </w:rPr>
        <w:t>Procureur général de l’Ontario</w:t>
      </w:r>
      <w:r w:rsidR="00EC15F2" w:rsidRPr="0093230B">
        <w:rPr>
          <w:lang w:val="fr-CA"/>
        </w:rPr>
        <w:t>, Toronto.</w:t>
      </w:r>
    </w:p>
    <w:p w:rsidR="00616B70" w:rsidRPr="0093230B" w:rsidRDefault="00631065" w:rsidP="00631065">
      <w:pPr>
        <w:pStyle w:val="SCCNormalDoubleSpacing"/>
        <w:tabs>
          <w:tab w:val="left" w:pos="1170"/>
        </w:tabs>
        <w:spacing w:after="480"/>
        <w:rPr>
          <w:i/>
          <w:lang w:val="fr-CA"/>
        </w:rPr>
      </w:pPr>
      <w:r>
        <w:rPr>
          <w:i/>
          <w:lang w:val="fr-CA"/>
        </w:rPr>
        <w:lastRenderedPageBreak/>
        <w:tab/>
      </w:r>
      <w:r w:rsidR="00EC15F2" w:rsidRPr="00631065">
        <w:rPr>
          <w:i/>
          <w:lang w:val="fr-CA"/>
        </w:rPr>
        <w:t>Procureur</w:t>
      </w:r>
      <w:r w:rsidR="008C6B8D" w:rsidRPr="00631065">
        <w:rPr>
          <w:i/>
          <w:lang w:val="fr-CA"/>
        </w:rPr>
        <w:t>s</w:t>
      </w:r>
      <w:r w:rsidR="00EC15F2" w:rsidRPr="0093230B">
        <w:rPr>
          <w:lang w:val="fr-CA"/>
        </w:rPr>
        <w:t xml:space="preserve"> de l’</w:t>
      </w:r>
      <w:r w:rsidR="006D451B" w:rsidRPr="0093230B">
        <w:rPr>
          <w:lang w:val="fr-CA"/>
        </w:rPr>
        <w:t>intimé</w:t>
      </w:r>
      <w:r w:rsidR="00EC15F2" w:rsidRPr="0093230B">
        <w:rPr>
          <w:lang w:val="fr-CA"/>
        </w:rPr>
        <w:t> : </w:t>
      </w:r>
      <w:r w:rsidR="008C6B8D" w:rsidRPr="0093230B">
        <w:rPr>
          <w:lang w:val="fr-CA"/>
        </w:rPr>
        <w:t xml:space="preserve">Lockyer Campbell </w:t>
      </w:r>
      <w:proofErr w:type="spellStart"/>
      <w:r w:rsidR="008C6B8D" w:rsidRPr="0093230B">
        <w:rPr>
          <w:lang w:val="fr-CA"/>
        </w:rPr>
        <w:t>Posner</w:t>
      </w:r>
      <w:proofErr w:type="spellEnd"/>
      <w:r w:rsidR="008C6B8D" w:rsidRPr="0093230B">
        <w:rPr>
          <w:lang w:val="fr-CA"/>
        </w:rPr>
        <w:t>, Toronto</w:t>
      </w:r>
      <w:r w:rsidR="00EC15F2" w:rsidRPr="0093230B">
        <w:rPr>
          <w:lang w:val="fr-CA"/>
        </w:rPr>
        <w:t xml:space="preserve">. </w:t>
      </w:r>
    </w:p>
    <w:sectPr w:rsidR="00616B70" w:rsidRPr="0093230B" w:rsidSect="00631065">
      <w:headerReference w:type="default" r:id="rId9"/>
      <w:pgSz w:w="12240" w:h="15840"/>
      <w:pgMar w:top="1267" w:right="2160" w:bottom="720" w:left="1800" w:header="1802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B1E" w:rsidRDefault="005F6B1E" w:rsidP="00487A48">
      <w:r>
        <w:separator/>
      </w:r>
    </w:p>
  </w:endnote>
  <w:endnote w:type="continuationSeparator" w:id="0">
    <w:p w:rsidR="005F6B1E" w:rsidRDefault="005F6B1E" w:rsidP="00487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B1E" w:rsidRDefault="005F6B1E" w:rsidP="00487A48">
      <w:r>
        <w:separator/>
      </w:r>
    </w:p>
  </w:footnote>
  <w:footnote w:type="continuationSeparator" w:id="0">
    <w:p w:rsidR="005F6B1E" w:rsidRDefault="005F6B1E" w:rsidP="00487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69290"/>
      <w:docPartObj>
        <w:docPartGallery w:val="Page Numbers (Top of Page)"/>
        <w:docPartUnique/>
      </w:docPartObj>
    </w:sdtPr>
    <w:sdtContent>
      <w:p w:rsidR="00631065" w:rsidRDefault="00631065">
        <w:pPr>
          <w:pStyle w:val="Header"/>
          <w:jc w:val="center"/>
        </w:pPr>
        <w:r>
          <w:t xml:space="preserve">- </w:t>
        </w:r>
        <w:fldSimple w:instr=" PAGE   \* MERGEFORMAT ">
          <w:r w:rsidR="00EA6917">
            <w:rPr>
              <w:noProof/>
            </w:rPr>
            <w:t>3</w:t>
          </w:r>
        </w:fldSimple>
        <w:r>
          <w:t xml:space="preserve"> -</w:t>
        </w:r>
      </w:p>
    </w:sdtContent>
  </w:sdt>
  <w:p w:rsidR="005F6B1E" w:rsidRPr="00450352" w:rsidRDefault="005F6B1E" w:rsidP="00616B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83EE8"/>
    <w:multiLevelType w:val="multilevel"/>
    <w:tmpl w:val="461CEFC6"/>
    <w:lvl w:ilvl="0">
      <w:start w:val="1"/>
      <w:numFmt w:val="decimal"/>
      <w:pStyle w:val="ParaNoNdepar-AltN"/>
      <w:lvlText w:val="[%1]"/>
      <w:lvlJc w:val="left"/>
      <w:pPr>
        <w:tabs>
          <w:tab w:val="num" w:pos="1152"/>
        </w:tabs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1001"/>
  <w:stylePaneSortMethod w:val="0004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EC15F2"/>
    <w:rsid w:val="00075DF8"/>
    <w:rsid w:val="00094CA7"/>
    <w:rsid w:val="00100F78"/>
    <w:rsid w:val="0015795D"/>
    <w:rsid w:val="00187C3E"/>
    <w:rsid w:val="001C3820"/>
    <w:rsid w:val="00250A6A"/>
    <w:rsid w:val="0027444B"/>
    <w:rsid w:val="002A1C62"/>
    <w:rsid w:val="002E101A"/>
    <w:rsid w:val="00383D1C"/>
    <w:rsid w:val="003E4118"/>
    <w:rsid w:val="004167C2"/>
    <w:rsid w:val="00424DBB"/>
    <w:rsid w:val="00464567"/>
    <w:rsid w:val="00487A48"/>
    <w:rsid w:val="004A1D95"/>
    <w:rsid w:val="0059159A"/>
    <w:rsid w:val="005F6B1E"/>
    <w:rsid w:val="00602062"/>
    <w:rsid w:val="00616B70"/>
    <w:rsid w:val="00631065"/>
    <w:rsid w:val="006D451B"/>
    <w:rsid w:val="00700CFB"/>
    <w:rsid w:val="00753CF2"/>
    <w:rsid w:val="007D3FBB"/>
    <w:rsid w:val="00862015"/>
    <w:rsid w:val="008C6B8D"/>
    <w:rsid w:val="00915A7A"/>
    <w:rsid w:val="0093230B"/>
    <w:rsid w:val="009A2184"/>
    <w:rsid w:val="00A15125"/>
    <w:rsid w:val="00A328C8"/>
    <w:rsid w:val="00A93B7C"/>
    <w:rsid w:val="00AD2A11"/>
    <w:rsid w:val="00B02EE2"/>
    <w:rsid w:val="00B25DA6"/>
    <w:rsid w:val="00B85071"/>
    <w:rsid w:val="00BA7ED8"/>
    <w:rsid w:val="00BC2A54"/>
    <w:rsid w:val="00C11A9C"/>
    <w:rsid w:val="00CA1ED2"/>
    <w:rsid w:val="00D06739"/>
    <w:rsid w:val="00D56774"/>
    <w:rsid w:val="00EA6917"/>
    <w:rsid w:val="00EC15F2"/>
    <w:rsid w:val="00EF0A64"/>
    <w:rsid w:val="00F234F3"/>
    <w:rsid w:val="00FB3F1C"/>
    <w:rsid w:val="00FD2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30B"/>
    <w:rPr>
      <w:rFonts w:eastAsia="Times New Roman" w:cs="Times New Roman"/>
      <w:szCs w:val="20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CNormalDoubleSpacing">
    <w:name w:val="SCC.Normal.DoubleSpacing"/>
    <w:basedOn w:val="Normal"/>
    <w:link w:val="SCCNormalDoubleSpacingChar"/>
    <w:rsid w:val="00EC15F2"/>
    <w:pPr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EC15F2"/>
    <w:rPr>
      <w:rFonts w:eastAsia="Times New Roman" w:cs="Times New Roman"/>
      <w:szCs w:val="20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EC15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5F2"/>
    <w:rPr>
      <w:rFonts w:eastAsia="Times New Roman" w:cs="Times New Roman"/>
      <w:szCs w:val="20"/>
      <w:lang w:val="en-CA" w:eastAsia="en-CA"/>
    </w:rPr>
  </w:style>
  <w:style w:type="paragraph" w:customStyle="1" w:styleId="SCCLsocParty">
    <w:name w:val="SCC.Lsoc.Party"/>
    <w:basedOn w:val="Normal"/>
    <w:next w:val="Normal"/>
    <w:link w:val="SCCLsocPartyChar"/>
    <w:rsid w:val="00EC15F2"/>
    <w:pPr>
      <w:jc w:val="both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EC15F2"/>
    <w:rPr>
      <w:rFonts w:eastAsia="Times New Roman" w:cs="Times New Roman"/>
      <w:b/>
      <w:szCs w:val="20"/>
      <w:lang w:val="en-CA" w:eastAsia="en-CA"/>
    </w:rPr>
  </w:style>
  <w:style w:type="paragraph" w:customStyle="1" w:styleId="SCCLsocVersus">
    <w:name w:val="SCC.Lsoc.Versus"/>
    <w:basedOn w:val="Normal"/>
    <w:next w:val="Normal"/>
    <w:link w:val="SCCLsocVersusChar"/>
    <w:rsid w:val="00EC15F2"/>
    <w:rPr>
      <w:i/>
    </w:rPr>
  </w:style>
  <w:style w:type="character" w:customStyle="1" w:styleId="SCCLsocVersusChar">
    <w:name w:val="SCC.Lsoc.Versus Char"/>
    <w:basedOn w:val="DefaultParagraphFont"/>
    <w:link w:val="SCCLsocVersus"/>
    <w:rsid w:val="00EC15F2"/>
    <w:rPr>
      <w:rFonts w:eastAsia="Times New Roman" w:cs="Times New Roman"/>
      <w:i/>
      <w:szCs w:val="20"/>
      <w:lang w:val="en-CA" w:eastAsia="en-CA"/>
    </w:rPr>
  </w:style>
  <w:style w:type="paragraph" w:styleId="Footer">
    <w:name w:val="footer"/>
    <w:basedOn w:val="Normal"/>
    <w:link w:val="FooterChar"/>
    <w:uiPriority w:val="99"/>
    <w:semiHidden/>
    <w:unhideWhenUsed/>
    <w:rsid w:val="006310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1065"/>
    <w:rPr>
      <w:rFonts w:eastAsia="Times New Roman" w:cs="Times New Roman"/>
      <w:szCs w:val="20"/>
      <w:lang w:val="en-CA" w:eastAsia="en-CA"/>
    </w:rPr>
  </w:style>
  <w:style w:type="paragraph" w:customStyle="1" w:styleId="SCCSystemYear">
    <w:name w:val="SCC.SystemYear"/>
    <w:basedOn w:val="Normal"/>
    <w:next w:val="Normal"/>
    <w:link w:val="SCCSystemYearChar"/>
    <w:rsid w:val="00EC15F2"/>
    <w:rPr>
      <w:b/>
    </w:rPr>
  </w:style>
  <w:style w:type="character" w:customStyle="1" w:styleId="SCCSystemYearChar">
    <w:name w:val="SCC.SystemYear Char"/>
    <w:basedOn w:val="DefaultParagraphFont"/>
    <w:link w:val="SCCSystemYear"/>
    <w:rsid w:val="00EC15F2"/>
    <w:rPr>
      <w:rFonts w:eastAsia="Times New Roman" w:cs="Times New Roman"/>
      <w:b/>
      <w:szCs w:val="20"/>
      <w:lang w:val="en-CA" w:eastAsia="en-CA"/>
    </w:rPr>
  </w:style>
  <w:style w:type="paragraph" w:customStyle="1" w:styleId="SCCLawFirm">
    <w:name w:val="SCC.LawFirm"/>
    <w:basedOn w:val="SCCNormalDoubleSpacing"/>
    <w:next w:val="SCCNormalDoubleSpacing"/>
    <w:link w:val="SCCLawFirmChar"/>
    <w:rsid w:val="00EC15F2"/>
    <w:rPr>
      <w:i/>
    </w:rPr>
  </w:style>
  <w:style w:type="character" w:customStyle="1" w:styleId="SCCLawFirmChar">
    <w:name w:val="SCC.LawFirm Char"/>
    <w:basedOn w:val="SCCNormalDoubleSpacingChar"/>
    <w:link w:val="SCCLawFirm"/>
    <w:rsid w:val="00EC15F2"/>
    <w:rPr>
      <w:i/>
    </w:rPr>
  </w:style>
  <w:style w:type="paragraph" w:customStyle="1" w:styleId="JudgeJuge">
    <w:name w:val="Judge / Juge"/>
    <w:uiPriority w:val="3"/>
    <w:rsid w:val="00B85071"/>
    <w:pPr>
      <w:tabs>
        <w:tab w:val="left" w:pos="1166"/>
      </w:tabs>
      <w:spacing w:after="480" w:line="480" w:lineRule="auto"/>
    </w:pPr>
    <w:rPr>
      <w:rFonts w:eastAsia="Times New Roman" w:cs="Times New Roman"/>
      <w:smallCaps/>
      <w:szCs w:val="20"/>
      <w:lang w:val="en-CA" w:eastAsia="en-CA"/>
    </w:rPr>
  </w:style>
  <w:style w:type="paragraph" w:customStyle="1" w:styleId="ParaNoNdepar-AltN">
    <w:name w:val="Para. No. / Nº de par. - Alt N"/>
    <w:qFormat/>
    <w:rsid w:val="00B85071"/>
    <w:pPr>
      <w:numPr>
        <w:numId w:val="1"/>
      </w:numPr>
      <w:tabs>
        <w:tab w:val="clear" w:pos="1152"/>
        <w:tab w:val="left" w:pos="1166"/>
      </w:tabs>
      <w:spacing w:before="480" w:after="480" w:line="480" w:lineRule="auto"/>
      <w:jc w:val="both"/>
    </w:pPr>
    <w:rPr>
      <w:rFonts w:eastAsiaTheme="minorEastAsia"/>
      <w:lang w:val="en-CA"/>
    </w:rPr>
  </w:style>
  <w:style w:type="table" w:styleId="TableGrid">
    <w:name w:val="Table Grid"/>
    <w:basedOn w:val="TableNormal"/>
    <w:uiPriority w:val="59"/>
    <w:rsid w:val="00EA69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CCLsocPartyRole">
    <w:name w:val="SCC.Lsoc.PartyRole"/>
    <w:basedOn w:val="Normal"/>
    <w:next w:val="Normal"/>
    <w:link w:val="SCCLsocPartyRoleChar"/>
    <w:rsid w:val="00EA6917"/>
    <w:pPr>
      <w:jc w:val="center"/>
    </w:pPr>
    <w:rPr>
      <w:rFonts w:eastAsiaTheme="minorHAnsi" w:cstheme="minorBidi"/>
      <w:szCs w:val="24"/>
      <w:lang w:val="fr-CA" w:eastAsia="en-US"/>
    </w:rPr>
  </w:style>
  <w:style w:type="character" w:customStyle="1" w:styleId="SCCLsocPartyRoleChar">
    <w:name w:val="SCC.Lsoc.PartyRole Char"/>
    <w:basedOn w:val="DefaultParagraphFont"/>
    <w:link w:val="SCCLsocPartyRole"/>
    <w:rsid w:val="00EA6917"/>
    <w:rPr>
      <w:lang w:val="fr-CA"/>
    </w:rPr>
  </w:style>
  <w:style w:type="paragraph" w:customStyle="1" w:styleId="SCCLsocPrefix">
    <w:name w:val="SCC.Lsoc.Prefix"/>
    <w:basedOn w:val="Normal"/>
    <w:next w:val="Normal"/>
    <w:link w:val="SCCLsocPrefixChar"/>
    <w:rsid w:val="00EA6917"/>
    <w:rPr>
      <w:rFonts w:eastAsiaTheme="minorHAnsi" w:cstheme="minorBidi"/>
      <w:b/>
      <w:smallCaps/>
      <w:szCs w:val="24"/>
      <w:lang w:val="fr-CA" w:eastAsia="en-US"/>
    </w:rPr>
  </w:style>
  <w:style w:type="character" w:customStyle="1" w:styleId="SCCLsocPrefixChar">
    <w:name w:val="SCC.Lsoc.Prefix Char"/>
    <w:basedOn w:val="DefaultParagraphFont"/>
    <w:link w:val="SCCLsocPrefix"/>
    <w:rsid w:val="00EA6917"/>
    <w:rPr>
      <w:b/>
      <w:smallCaps/>
      <w:lang w:val="fr-CA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EA6917"/>
    <w:rPr>
      <w:b/>
      <w:lang w:val="fr-CA"/>
    </w:rPr>
  </w:style>
  <w:style w:type="character" w:customStyle="1" w:styleId="SCCAppellantForIndexChar">
    <w:name w:val="SCC.AppellantForIndex Char"/>
    <w:basedOn w:val="DefaultParagraphFont"/>
    <w:link w:val="SCCAppellantForIndex"/>
    <w:rsid w:val="00EA6917"/>
    <w:rPr>
      <w:rFonts w:eastAsia="Times New Roman" w:cs="Times New Roman"/>
      <w:b/>
      <w:szCs w:val="20"/>
      <w:lang w:val="fr-CA" w:eastAsia="en-CA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EA6917"/>
    <w:rPr>
      <w:b/>
      <w:lang w:val="fr-CA"/>
    </w:rPr>
  </w:style>
  <w:style w:type="character" w:customStyle="1" w:styleId="SCCRespondentForIndexChar">
    <w:name w:val="SCC.RespondentForIndex Char"/>
    <w:basedOn w:val="DefaultParagraphFont"/>
    <w:link w:val="SCCRespondentForIndex"/>
    <w:rsid w:val="00EA6917"/>
    <w:rPr>
      <w:rFonts w:eastAsia="Times New Roman" w:cs="Times New Roman"/>
      <w:b/>
      <w:szCs w:val="20"/>
      <w:lang w:val="fr-CA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329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2011-12-13T18:21:00Z</dcterms:created>
  <dcterms:modified xsi:type="dcterms:W3CDTF">2012-03-06T19:15:00Z</dcterms:modified>
</cp:coreProperties>
</file>