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81" w:rsidRPr="009D6D54" w:rsidRDefault="004A3C81" w:rsidP="004A3C81">
      <w:pPr>
        <w:tabs>
          <w:tab w:val="center" w:pos="4680"/>
          <w:tab w:val="right" w:pos="9360"/>
        </w:tabs>
        <w:jc w:val="center"/>
        <w:rPr>
          <w:rFonts w:eastAsiaTheme="minorHAnsi" w:cstheme="minorBidi"/>
          <w:szCs w:val="24"/>
          <w:lang w:eastAsia="en-US"/>
        </w:rPr>
      </w:pPr>
      <w:r w:rsidRPr="009D6D5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92556393" r:id="rId9"/>
        </w:object>
      </w:r>
    </w:p>
    <w:p w:rsidR="004A3C81" w:rsidRPr="009D6D54" w:rsidRDefault="004A3C81" w:rsidP="004A3C81">
      <w:pPr>
        <w:tabs>
          <w:tab w:val="center" w:pos="4680"/>
          <w:tab w:val="right" w:pos="9360"/>
        </w:tabs>
        <w:rPr>
          <w:rFonts w:eastAsiaTheme="minorHAnsi" w:cstheme="minorBidi"/>
          <w:szCs w:val="24"/>
          <w:lang w:eastAsia="en-US"/>
        </w:rPr>
      </w:pPr>
    </w:p>
    <w:p w:rsidR="004A3C81" w:rsidRPr="009D6D54" w:rsidRDefault="004A3C81" w:rsidP="004A3C81">
      <w:pPr>
        <w:jc w:val="center"/>
        <w:rPr>
          <w:rFonts w:eastAsiaTheme="minorHAnsi" w:cstheme="minorBidi"/>
          <w:b/>
          <w:szCs w:val="24"/>
          <w:lang w:eastAsia="en-US"/>
        </w:rPr>
      </w:pPr>
      <w:r w:rsidRPr="009D6D54">
        <w:rPr>
          <w:rFonts w:eastAsiaTheme="minorHAnsi" w:cstheme="minorBidi"/>
          <w:b/>
          <w:szCs w:val="24"/>
          <w:lang w:eastAsia="en-US"/>
        </w:rPr>
        <w:t>COUR SUPRÊME DU CANADA</w:t>
      </w:r>
    </w:p>
    <w:p w:rsidR="004A3C81" w:rsidRPr="009D6D54" w:rsidRDefault="004A3C81" w:rsidP="004A3C81">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A3C81" w:rsidRPr="009D6D54" w:rsidTr="001D68B8">
        <w:trPr>
          <w:cantSplit/>
        </w:trPr>
        <w:tc>
          <w:tcPr>
            <w:tcW w:w="6768" w:type="dxa"/>
          </w:tcPr>
          <w:p w:rsidR="004A3C81" w:rsidRPr="009D6D54" w:rsidRDefault="004A3C81" w:rsidP="001D68B8">
            <w:pPr>
              <w:rPr>
                <w:lang w:val="en-US"/>
              </w:rPr>
            </w:pPr>
            <w:proofErr w:type="gramStart"/>
            <w:r w:rsidRPr="009D6D54">
              <w:rPr>
                <w:b/>
                <w:smallCaps/>
                <w:lang w:val="en-US"/>
              </w:rPr>
              <w:t>Référence :</w:t>
            </w:r>
            <w:proofErr w:type="gramEnd"/>
            <w:r w:rsidRPr="009D6D54">
              <w:rPr>
                <w:lang w:val="en-US"/>
              </w:rPr>
              <w:t xml:space="preserve"> Newfoundland and Labrador Nurses’ Union </w:t>
            </w:r>
            <w:r w:rsidRPr="009D6D54">
              <w:rPr>
                <w:i/>
                <w:lang w:val="en-US"/>
              </w:rPr>
              <w:t>c.</w:t>
            </w:r>
            <w:r w:rsidRPr="009D6D54">
              <w:rPr>
                <w:lang w:val="en-US"/>
              </w:rPr>
              <w:t xml:space="preserve"> </w:t>
            </w:r>
          </w:p>
          <w:p w:rsidR="004A3C81" w:rsidRPr="009D6D54" w:rsidRDefault="004A3C81" w:rsidP="001D68B8">
            <w:r w:rsidRPr="009D6D54">
              <w:t>Terre-Neuve-et-Labrador (Conseil du Trésor), 2011 CSC 62</w:t>
            </w:r>
            <w:r>
              <w:t>, [2011] 3 R.C.S. 708</w:t>
            </w:r>
          </w:p>
        </w:tc>
        <w:tc>
          <w:tcPr>
            <w:tcW w:w="2808" w:type="dxa"/>
          </w:tcPr>
          <w:p w:rsidR="004A3C81" w:rsidRPr="009D6D54" w:rsidRDefault="004A3C81" w:rsidP="001D68B8">
            <w:r w:rsidRPr="009D6D54">
              <w:rPr>
                <w:b/>
                <w:smallCaps/>
              </w:rPr>
              <w:t>Date :</w:t>
            </w:r>
            <w:r w:rsidRPr="009D6D54">
              <w:t xml:space="preserve"> 20111215</w:t>
            </w:r>
          </w:p>
          <w:p w:rsidR="004A3C81" w:rsidRPr="009D6D54" w:rsidRDefault="004A3C81" w:rsidP="001D68B8">
            <w:r w:rsidRPr="009D6D54">
              <w:rPr>
                <w:b/>
                <w:smallCaps/>
              </w:rPr>
              <w:t>Dossier :</w:t>
            </w:r>
            <w:r w:rsidRPr="009D6D54">
              <w:t xml:space="preserve"> 33659</w:t>
            </w:r>
          </w:p>
        </w:tc>
      </w:tr>
    </w:tbl>
    <w:p w:rsidR="004A3C81" w:rsidRPr="009D6D54" w:rsidRDefault="004A3C81" w:rsidP="004A3C81">
      <w:pPr>
        <w:rPr>
          <w:rFonts w:eastAsiaTheme="minorHAnsi" w:cstheme="minorBidi"/>
          <w:szCs w:val="24"/>
          <w:lang w:eastAsia="en-US"/>
        </w:rPr>
      </w:pPr>
    </w:p>
    <w:p w:rsidR="004A3C81" w:rsidRPr="009D6D54" w:rsidRDefault="004A3C81" w:rsidP="004A3C81">
      <w:pPr>
        <w:rPr>
          <w:rFonts w:eastAsiaTheme="minorHAnsi" w:cstheme="minorBidi"/>
          <w:b/>
          <w:smallCaps/>
          <w:szCs w:val="24"/>
          <w:lang w:eastAsia="en-US"/>
        </w:rPr>
      </w:pPr>
      <w:r w:rsidRPr="009D6D54">
        <w:rPr>
          <w:rFonts w:eastAsiaTheme="minorHAnsi" w:cstheme="minorBidi"/>
          <w:b/>
          <w:smallCaps/>
          <w:szCs w:val="24"/>
          <w:lang w:eastAsia="en-US"/>
        </w:rPr>
        <w:t>Entre :</w:t>
      </w:r>
    </w:p>
    <w:p w:rsidR="004A3C81" w:rsidRPr="009D6D54" w:rsidRDefault="004A3C81" w:rsidP="004A3C81">
      <w:pPr>
        <w:jc w:val="center"/>
        <w:rPr>
          <w:rFonts w:eastAsiaTheme="minorHAnsi" w:cstheme="minorBidi"/>
          <w:b/>
          <w:szCs w:val="24"/>
          <w:lang w:val="en-US" w:eastAsia="en-US"/>
        </w:rPr>
      </w:pPr>
      <w:r w:rsidRPr="009D6D54">
        <w:rPr>
          <w:rFonts w:eastAsiaTheme="minorHAnsi" w:cstheme="minorBidi"/>
          <w:b/>
          <w:szCs w:val="24"/>
          <w:lang w:val="en-US" w:eastAsia="en-US"/>
        </w:rPr>
        <w:t>Newfoundland and Labrador Nurses’ Union</w:t>
      </w:r>
    </w:p>
    <w:p w:rsidR="004A3C81" w:rsidRPr="009D6D54" w:rsidRDefault="004A3C81" w:rsidP="004A3C81">
      <w:pPr>
        <w:jc w:val="center"/>
        <w:rPr>
          <w:rFonts w:eastAsiaTheme="minorHAnsi" w:cstheme="minorBidi"/>
          <w:szCs w:val="24"/>
          <w:lang w:eastAsia="en-US"/>
        </w:rPr>
      </w:pPr>
      <w:r w:rsidRPr="009D6D54">
        <w:rPr>
          <w:rFonts w:eastAsiaTheme="minorHAnsi" w:cstheme="minorBidi"/>
          <w:szCs w:val="24"/>
          <w:lang w:eastAsia="en-US"/>
        </w:rPr>
        <w:t>Appelant</w:t>
      </w:r>
    </w:p>
    <w:p w:rsidR="004A3C81" w:rsidRPr="009D6D54" w:rsidRDefault="004A3C81" w:rsidP="004A3C81">
      <w:pPr>
        <w:jc w:val="center"/>
        <w:rPr>
          <w:rFonts w:eastAsiaTheme="minorHAnsi" w:cstheme="minorBidi"/>
          <w:szCs w:val="24"/>
          <w:lang w:eastAsia="en-US"/>
        </w:rPr>
      </w:pPr>
      <w:proofErr w:type="gramStart"/>
      <w:r w:rsidRPr="009D6D54">
        <w:rPr>
          <w:rFonts w:eastAsiaTheme="minorHAnsi" w:cstheme="minorBidi"/>
          <w:szCs w:val="24"/>
          <w:lang w:eastAsia="en-US"/>
        </w:rPr>
        <w:t>et</w:t>
      </w:r>
      <w:proofErr w:type="gramEnd"/>
    </w:p>
    <w:p w:rsidR="004A3C81" w:rsidRPr="009D6D54" w:rsidRDefault="004A3C81" w:rsidP="004A3C81">
      <w:pPr>
        <w:jc w:val="center"/>
        <w:rPr>
          <w:rFonts w:eastAsiaTheme="minorHAnsi" w:cstheme="minorBidi"/>
          <w:b/>
          <w:szCs w:val="24"/>
          <w:lang w:eastAsia="en-US"/>
        </w:rPr>
      </w:pPr>
      <w:r w:rsidRPr="009D6D54">
        <w:rPr>
          <w:rFonts w:eastAsiaTheme="minorHAnsi" w:cstheme="minorBidi"/>
          <w:b/>
          <w:szCs w:val="24"/>
          <w:lang w:eastAsia="en-US"/>
        </w:rPr>
        <w:t>Sa Majesté la Reine du chef de Terre-Neuve-et-Labrador, représentée par</w:t>
      </w:r>
    </w:p>
    <w:p w:rsidR="004A3C81" w:rsidRPr="009D6D54" w:rsidRDefault="004A3C81" w:rsidP="004A3C81">
      <w:pPr>
        <w:jc w:val="center"/>
        <w:rPr>
          <w:rFonts w:eastAsiaTheme="minorHAnsi" w:cstheme="minorBidi"/>
          <w:b/>
          <w:szCs w:val="24"/>
          <w:lang w:eastAsia="en-US"/>
        </w:rPr>
      </w:pPr>
      <w:proofErr w:type="gramStart"/>
      <w:r w:rsidRPr="009D6D54">
        <w:rPr>
          <w:rFonts w:eastAsiaTheme="minorHAnsi" w:cstheme="minorBidi"/>
          <w:b/>
          <w:szCs w:val="24"/>
          <w:lang w:eastAsia="en-US"/>
        </w:rPr>
        <w:t>le</w:t>
      </w:r>
      <w:proofErr w:type="gramEnd"/>
      <w:r w:rsidRPr="009D6D54">
        <w:rPr>
          <w:rFonts w:eastAsiaTheme="minorHAnsi" w:cstheme="minorBidi"/>
          <w:b/>
          <w:szCs w:val="24"/>
          <w:lang w:eastAsia="en-US"/>
        </w:rPr>
        <w:t xml:space="preserve"> Conseil du Trésor et Newfoundland and Labrador </w:t>
      </w:r>
      <w:proofErr w:type="spellStart"/>
      <w:r w:rsidRPr="009D6D54">
        <w:rPr>
          <w:rFonts w:eastAsiaTheme="minorHAnsi" w:cstheme="minorBidi"/>
          <w:b/>
          <w:szCs w:val="24"/>
          <w:lang w:eastAsia="en-US"/>
        </w:rPr>
        <w:t>Health</w:t>
      </w:r>
      <w:proofErr w:type="spellEnd"/>
      <w:r w:rsidRPr="009D6D54">
        <w:rPr>
          <w:rFonts w:eastAsiaTheme="minorHAnsi" w:cstheme="minorBidi"/>
          <w:b/>
          <w:szCs w:val="24"/>
          <w:lang w:eastAsia="en-US"/>
        </w:rPr>
        <w:t xml:space="preserve"> </w:t>
      </w:r>
      <w:proofErr w:type="spellStart"/>
      <w:r w:rsidRPr="009D6D54">
        <w:rPr>
          <w:rFonts w:eastAsiaTheme="minorHAnsi" w:cstheme="minorBidi"/>
          <w:b/>
          <w:szCs w:val="24"/>
          <w:lang w:eastAsia="en-US"/>
        </w:rPr>
        <w:t>Boards</w:t>
      </w:r>
      <w:proofErr w:type="spellEnd"/>
      <w:r w:rsidRPr="009D6D54">
        <w:rPr>
          <w:rFonts w:eastAsiaTheme="minorHAnsi" w:cstheme="minorBidi"/>
          <w:b/>
          <w:szCs w:val="24"/>
          <w:lang w:eastAsia="en-US"/>
        </w:rPr>
        <w:t xml:space="preserve"> Association, </w:t>
      </w:r>
    </w:p>
    <w:p w:rsidR="004A3C81" w:rsidRPr="009D6D54" w:rsidRDefault="004A3C81" w:rsidP="004A3C81">
      <w:pPr>
        <w:jc w:val="center"/>
        <w:rPr>
          <w:rFonts w:eastAsiaTheme="minorHAnsi" w:cstheme="minorBidi"/>
          <w:b/>
          <w:szCs w:val="24"/>
          <w:lang w:eastAsia="en-US"/>
        </w:rPr>
      </w:pPr>
      <w:proofErr w:type="gramStart"/>
      <w:r w:rsidRPr="009D6D54">
        <w:rPr>
          <w:rFonts w:eastAsiaTheme="minorHAnsi" w:cstheme="minorBidi"/>
          <w:b/>
          <w:szCs w:val="24"/>
          <w:lang w:eastAsia="en-US"/>
        </w:rPr>
        <w:t>au</w:t>
      </w:r>
      <w:proofErr w:type="gramEnd"/>
      <w:r w:rsidRPr="009D6D54">
        <w:rPr>
          <w:rFonts w:eastAsiaTheme="minorHAnsi" w:cstheme="minorBidi"/>
          <w:b/>
          <w:szCs w:val="24"/>
          <w:lang w:eastAsia="en-US"/>
        </w:rPr>
        <w:t xml:space="preserve"> nom de la Labrador-</w:t>
      </w:r>
      <w:proofErr w:type="spellStart"/>
      <w:r w:rsidRPr="009D6D54">
        <w:rPr>
          <w:rFonts w:eastAsiaTheme="minorHAnsi" w:cstheme="minorBidi"/>
          <w:b/>
          <w:szCs w:val="24"/>
          <w:lang w:eastAsia="en-US"/>
        </w:rPr>
        <w:t>Grenfell</w:t>
      </w:r>
      <w:proofErr w:type="spellEnd"/>
      <w:r w:rsidRPr="009D6D54">
        <w:rPr>
          <w:rFonts w:eastAsiaTheme="minorHAnsi" w:cstheme="minorBidi"/>
          <w:b/>
          <w:szCs w:val="24"/>
          <w:lang w:eastAsia="en-US"/>
        </w:rPr>
        <w:t xml:space="preserve"> </w:t>
      </w:r>
      <w:proofErr w:type="spellStart"/>
      <w:r w:rsidRPr="009D6D54">
        <w:rPr>
          <w:rFonts w:eastAsiaTheme="minorHAnsi" w:cstheme="minorBidi"/>
          <w:b/>
          <w:szCs w:val="24"/>
          <w:lang w:eastAsia="en-US"/>
        </w:rPr>
        <w:t>Regional</w:t>
      </w:r>
      <w:proofErr w:type="spellEnd"/>
      <w:r w:rsidRPr="009D6D54">
        <w:rPr>
          <w:rFonts w:eastAsiaTheme="minorHAnsi" w:cstheme="minorBidi"/>
          <w:b/>
          <w:szCs w:val="24"/>
          <w:lang w:eastAsia="en-US"/>
        </w:rPr>
        <w:t xml:space="preserve"> </w:t>
      </w:r>
      <w:proofErr w:type="spellStart"/>
      <w:r w:rsidRPr="009D6D54">
        <w:rPr>
          <w:rFonts w:eastAsiaTheme="minorHAnsi" w:cstheme="minorBidi"/>
          <w:b/>
          <w:szCs w:val="24"/>
          <w:lang w:eastAsia="en-US"/>
        </w:rPr>
        <w:t>Health</w:t>
      </w:r>
      <w:proofErr w:type="spellEnd"/>
      <w:r w:rsidRPr="009D6D54">
        <w:rPr>
          <w:rFonts w:eastAsiaTheme="minorHAnsi" w:cstheme="minorBidi"/>
          <w:b/>
          <w:szCs w:val="24"/>
          <w:lang w:eastAsia="en-US"/>
        </w:rPr>
        <w:t xml:space="preserve"> </w:t>
      </w:r>
      <w:proofErr w:type="spellStart"/>
      <w:r w:rsidRPr="009D6D54">
        <w:rPr>
          <w:rFonts w:eastAsiaTheme="minorHAnsi" w:cstheme="minorBidi"/>
          <w:b/>
          <w:szCs w:val="24"/>
          <w:lang w:eastAsia="en-US"/>
        </w:rPr>
        <w:t>Authority</w:t>
      </w:r>
      <w:proofErr w:type="spellEnd"/>
    </w:p>
    <w:p w:rsidR="004A3C81" w:rsidRPr="009D6D54" w:rsidRDefault="004A3C81" w:rsidP="004A3C81">
      <w:pPr>
        <w:jc w:val="center"/>
        <w:rPr>
          <w:rFonts w:eastAsiaTheme="minorHAnsi" w:cstheme="minorBidi"/>
          <w:szCs w:val="24"/>
          <w:lang w:eastAsia="en-US"/>
        </w:rPr>
      </w:pPr>
      <w:r w:rsidRPr="009D6D54">
        <w:rPr>
          <w:rFonts w:eastAsiaTheme="minorHAnsi" w:cstheme="minorBidi"/>
          <w:szCs w:val="24"/>
          <w:lang w:eastAsia="en-US"/>
        </w:rPr>
        <w:t>Intimées</w:t>
      </w:r>
    </w:p>
    <w:p w:rsidR="004A3C81" w:rsidRPr="009D6D54" w:rsidRDefault="004A3C81" w:rsidP="004A3C81">
      <w:pPr>
        <w:rPr>
          <w:rFonts w:eastAsiaTheme="minorHAnsi" w:cstheme="minorBidi"/>
          <w:szCs w:val="24"/>
          <w:lang w:eastAsia="en-US"/>
        </w:rPr>
      </w:pPr>
    </w:p>
    <w:p w:rsidR="004A3C81" w:rsidRPr="009D6D54" w:rsidRDefault="004A3C81" w:rsidP="004A3C81">
      <w:pPr>
        <w:rPr>
          <w:rFonts w:eastAsiaTheme="minorHAnsi" w:cstheme="minorBidi"/>
          <w:szCs w:val="24"/>
          <w:lang w:eastAsia="en-US"/>
        </w:rPr>
      </w:pPr>
    </w:p>
    <w:p w:rsidR="004A3C81" w:rsidRPr="009D6D54" w:rsidRDefault="004A3C81" w:rsidP="004A3C81">
      <w:pPr>
        <w:jc w:val="center"/>
        <w:rPr>
          <w:rFonts w:eastAsiaTheme="minorHAnsi" w:cstheme="minorBidi"/>
          <w:b/>
          <w:smallCaps/>
          <w:szCs w:val="24"/>
          <w:lang w:eastAsia="en-US"/>
        </w:rPr>
      </w:pPr>
      <w:r w:rsidRPr="009D6D54">
        <w:rPr>
          <w:rFonts w:eastAsiaTheme="minorHAnsi" w:cstheme="minorBidi"/>
          <w:b/>
          <w:smallCaps/>
          <w:szCs w:val="24"/>
          <w:lang w:eastAsia="en-US"/>
        </w:rPr>
        <w:t>Traduction française officielle</w:t>
      </w:r>
    </w:p>
    <w:p w:rsidR="004A3C81" w:rsidRPr="009D6D54" w:rsidRDefault="004A3C81" w:rsidP="004A3C81">
      <w:pPr>
        <w:rPr>
          <w:rFonts w:eastAsiaTheme="minorHAnsi" w:cstheme="minorBidi"/>
          <w:szCs w:val="24"/>
          <w:lang w:eastAsia="en-US"/>
        </w:rPr>
      </w:pPr>
    </w:p>
    <w:p w:rsidR="004A3C81" w:rsidRPr="009D6D54" w:rsidRDefault="004A3C81" w:rsidP="004A3C81">
      <w:pPr>
        <w:rPr>
          <w:rFonts w:eastAsiaTheme="minorHAnsi" w:cstheme="minorBidi"/>
          <w:szCs w:val="24"/>
          <w:lang w:eastAsia="en-US"/>
        </w:rPr>
      </w:pPr>
      <w:r w:rsidRPr="009D6D54">
        <w:rPr>
          <w:rFonts w:eastAsiaTheme="minorHAnsi" w:cstheme="minorBidi"/>
          <w:b/>
          <w:smallCaps/>
          <w:szCs w:val="24"/>
          <w:lang w:eastAsia="en-US"/>
        </w:rPr>
        <w:t>Coram :</w:t>
      </w:r>
      <w:r w:rsidRPr="009D6D54">
        <w:rPr>
          <w:rFonts w:eastAsiaTheme="minorHAnsi" w:cstheme="minorBidi"/>
          <w:szCs w:val="24"/>
          <w:lang w:eastAsia="en-US"/>
        </w:rPr>
        <w:t xml:space="preserve"> La juge en chef </w:t>
      </w:r>
      <w:proofErr w:type="spellStart"/>
      <w:r w:rsidRPr="009D6D54">
        <w:rPr>
          <w:rFonts w:eastAsiaTheme="minorHAnsi" w:cstheme="minorBidi"/>
          <w:szCs w:val="24"/>
          <w:lang w:eastAsia="en-US"/>
        </w:rPr>
        <w:t>McLachlin</w:t>
      </w:r>
      <w:proofErr w:type="spellEnd"/>
      <w:r w:rsidRPr="009D6D54">
        <w:rPr>
          <w:rFonts w:eastAsiaTheme="minorHAnsi" w:cstheme="minorBidi"/>
          <w:szCs w:val="24"/>
          <w:lang w:eastAsia="en-US"/>
        </w:rPr>
        <w:t xml:space="preserve"> et les juges </w:t>
      </w:r>
      <w:proofErr w:type="spellStart"/>
      <w:r w:rsidRPr="009D6D54">
        <w:rPr>
          <w:rFonts w:eastAsiaTheme="minorHAnsi" w:cstheme="minorBidi"/>
          <w:szCs w:val="24"/>
          <w:lang w:eastAsia="en-US"/>
        </w:rPr>
        <w:t>LeBel</w:t>
      </w:r>
      <w:proofErr w:type="spellEnd"/>
      <w:r w:rsidRPr="009D6D54">
        <w:rPr>
          <w:rFonts w:eastAsiaTheme="minorHAnsi" w:cstheme="minorBidi"/>
          <w:szCs w:val="24"/>
          <w:lang w:eastAsia="en-US"/>
        </w:rPr>
        <w:t xml:space="preserve">, Deschamps, Fish, Abella, </w:t>
      </w:r>
      <w:proofErr w:type="spellStart"/>
      <w:r w:rsidRPr="009D6D54">
        <w:rPr>
          <w:rFonts w:eastAsiaTheme="minorHAnsi" w:cstheme="minorBidi"/>
          <w:szCs w:val="24"/>
          <w:lang w:eastAsia="en-US"/>
        </w:rPr>
        <w:t>Rothstein</w:t>
      </w:r>
      <w:proofErr w:type="spellEnd"/>
      <w:r w:rsidRPr="009D6D54">
        <w:rPr>
          <w:rFonts w:eastAsiaTheme="minorHAnsi" w:cstheme="minorBidi"/>
          <w:szCs w:val="24"/>
          <w:lang w:eastAsia="en-US"/>
        </w:rPr>
        <w:t xml:space="preserve"> et Cromwell</w:t>
      </w:r>
    </w:p>
    <w:p w:rsidR="004A3C81" w:rsidRPr="009D6D54" w:rsidRDefault="004A3C81" w:rsidP="004A3C81">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A3C81" w:rsidRPr="009D6D54" w:rsidTr="001D68B8">
        <w:trPr>
          <w:cantSplit/>
        </w:trPr>
        <w:tc>
          <w:tcPr>
            <w:tcW w:w="3618" w:type="dxa"/>
          </w:tcPr>
          <w:p w:rsidR="004A3C81" w:rsidRPr="009D6D54" w:rsidRDefault="004A3C81" w:rsidP="001D68B8">
            <w:pPr>
              <w:rPr>
                <w:b/>
                <w:smallCaps/>
              </w:rPr>
            </w:pPr>
            <w:r w:rsidRPr="009D6D54">
              <w:rPr>
                <w:b/>
                <w:smallCaps/>
              </w:rPr>
              <w:t>Motifs de jugement :</w:t>
            </w:r>
          </w:p>
          <w:p w:rsidR="004A3C81" w:rsidRPr="009D6D54" w:rsidRDefault="004A3C81" w:rsidP="001D68B8">
            <w:r w:rsidRPr="009D6D54">
              <w:t>(par. 1 à 26)</w:t>
            </w:r>
          </w:p>
        </w:tc>
        <w:tc>
          <w:tcPr>
            <w:tcW w:w="5958" w:type="dxa"/>
          </w:tcPr>
          <w:p w:rsidR="004A3C81" w:rsidRPr="009D6D54" w:rsidRDefault="004A3C81" w:rsidP="001D68B8">
            <w:r w:rsidRPr="009D6D54">
              <w:t xml:space="preserve">La juge Abella (avec l’accord de la juge en chef </w:t>
            </w:r>
            <w:proofErr w:type="spellStart"/>
            <w:r w:rsidRPr="009D6D54">
              <w:t>McLachlin</w:t>
            </w:r>
            <w:proofErr w:type="spellEnd"/>
            <w:r w:rsidRPr="009D6D54">
              <w:t xml:space="preserve"> et des juges </w:t>
            </w:r>
            <w:proofErr w:type="spellStart"/>
            <w:r w:rsidRPr="009D6D54">
              <w:t>LeBel</w:t>
            </w:r>
            <w:proofErr w:type="spellEnd"/>
            <w:r w:rsidRPr="009D6D54">
              <w:t xml:space="preserve">, Deschamps, Fish, </w:t>
            </w:r>
            <w:proofErr w:type="spellStart"/>
            <w:r w:rsidRPr="009D6D54">
              <w:t>Rothstein</w:t>
            </w:r>
            <w:proofErr w:type="spellEnd"/>
            <w:r w:rsidRPr="009D6D54">
              <w:t xml:space="preserve"> et Cromwell)</w:t>
            </w:r>
          </w:p>
        </w:tc>
      </w:tr>
    </w:tbl>
    <w:p w:rsidR="004A3C81" w:rsidRPr="009D6D54" w:rsidRDefault="004A3C81" w:rsidP="004A3C81">
      <w:pPr>
        <w:rPr>
          <w:rFonts w:eastAsiaTheme="minorHAnsi" w:cstheme="minorBidi"/>
          <w:szCs w:val="24"/>
          <w:lang w:eastAsia="en-US"/>
        </w:rPr>
      </w:pPr>
    </w:p>
    <w:p w:rsidR="004A3C81" w:rsidRPr="009D6D54" w:rsidRDefault="004A3C81" w:rsidP="004A3C81">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4A3C81" w:rsidRPr="009D6D54" w:rsidRDefault="004A3C81" w:rsidP="004A3C81">
      <w:pPr>
        <w:rPr>
          <w:smallCaps/>
        </w:rPr>
      </w:pPr>
      <w:r w:rsidRPr="009D6D54">
        <w:rPr>
          <w:smallCaps/>
        </w:rPr>
        <w:br w:type="page"/>
      </w:r>
    </w:p>
    <w:p w:rsidR="008322BD" w:rsidRPr="00000CE8" w:rsidRDefault="001E28FE" w:rsidP="009F7B53">
      <w:pPr>
        <w:spacing w:after="720"/>
        <w:jc w:val="both"/>
      </w:pPr>
      <w:r w:rsidRPr="001E28FE">
        <w:lastRenderedPageBreak/>
        <w:t xml:space="preserve">Newfoundland and Labrador Nurses’ Union </w:t>
      </w:r>
      <w:r w:rsidRPr="001E28FE">
        <w:rPr>
          <w:i/>
        </w:rPr>
        <w:t>c.</w:t>
      </w:r>
      <w:r w:rsidRPr="001E28FE">
        <w:t xml:space="preserve"> </w:t>
      </w:r>
      <w:proofErr w:type="spellStart"/>
      <w:r w:rsidRPr="001E28FE">
        <w:t>Terre</w:t>
      </w:r>
      <w:r w:rsidRPr="001E28FE">
        <w:noBreakHyphen/>
        <w:t>Neuve</w:t>
      </w:r>
      <w:r w:rsidRPr="001E28FE">
        <w:noBreakHyphen/>
        <w:t>et</w:t>
      </w:r>
      <w:r w:rsidRPr="001E28FE">
        <w:noBreakHyphen/>
        <w:t>Labrador</w:t>
      </w:r>
      <w:proofErr w:type="spellEnd"/>
      <w:r w:rsidRPr="001E28FE">
        <w:t xml:space="preserve"> (Conseil du Trésor)</w:t>
      </w:r>
      <w:r>
        <w:rPr>
          <w:smallCaps/>
        </w:rPr>
        <w:t xml:space="preserve">, </w:t>
      </w:r>
      <w:r>
        <w:t>2011 CSC 62, [2011] 3 R.C.S. 708</w:t>
      </w:r>
    </w:p>
    <w:p w:rsidR="00345F15" w:rsidRPr="00000CE8" w:rsidRDefault="004059A6" w:rsidP="009F7B53">
      <w:pPr>
        <w:pStyle w:val="SCCLsocParty"/>
        <w:tabs>
          <w:tab w:val="right" w:pos="8280"/>
        </w:tabs>
        <w:spacing w:after="720"/>
        <w:rPr>
          <w:lang w:val="en-US"/>
        </w:rPr>
      </w:pPr>
      <w:r w:rsidRPr="00000CE8">
        <w:rPr>
          <w:lang w:val="en-US"/>
        </w:rPr>
        <w:t>N</w:t>
      </w:r>
      <w:r w:rsidR="004A79B6" w:rsidRPr="00000CE8">
        <w:rPr>
          <w:lang w:val="en-US"/>
        </w:rPr>
        <w:t>ewfoundland and Labrador Nurses’</w:t>
      </w:r>
      <w:r w:rsidRPr="00000CE8">
        <w:rPr>
          <w:lang w:val="en-US"/>
        </w:rPr>
        <w:t xml:space="preserve"> Union</w:t>
      </w:r>
      <w:r w:rsidR="009F7B53" w:rsidRPr="00000CE8">
        <w:rPr>
          <w:lang w:val="en-US"/>
        </w:rPr>
        <w:tab/>
      </w:r>
      <w:proofErr w:type="spellStart"/>
      <w:r w:rsidRPr="00000CE8">
        <w:rPr>
          <w:b w:val="0"/>
          <w:i/>
          <w:lang w:val="en-US"/>
        </w:rPr>
        <w:t>Appelant</w:t>
      </w:r>
      <w:r w:rsidR="00D8491C">
        <w:rPr>
          <w:b w:val="0"/>
          <w:i/>
          <w:lang w:val="en-US"/>
        </w:rPr>
        <w:t>e</w:t>
      </w:r>
      <w:proofErr w:type="spellEnd"/>
    </w:p>
    <w:p w:rsidR="00345F15" w:rsidRPr="00000CE8" w:rsidRDefault="004059A6" w:rsidP="009F7B53">
      <w:pPr>
        <w:pStyle w:val="SCCLsocVersus"/>
        <w:spacing w:after="720"/>
      </w:pPr>
      <w:proofErr w:type="gramStart"/>
      <w:r w:rsidRPr="00000CE8">
        <w:t>c</w:t>
      </w:r>
      <w:proofErr w:type="gramEnd"/>
      <w:r w:rsidRPr="00000CE8">
        <w:t>.</w:t>
      </w:r>
    </w:p>
    <w:p w:rsidR="00BB3F96" w:rsidRPr="00000CE8" w:rsidRDefault="004059A6">
      <w:pPr>
        <w:pStyle w:val="SCCLsocParty"/>
      </w:pPr>
      <w:r w:rsidRPr="00000CE8">
        <w:t xml:space="preserve">Sa Majesté la Reine du chef de </w:t>
      </w:r>
      <w:proofErr w:type="spellStart"/>
      <w:r w:rsidRPr="00000CE8">
        <w:t>Terre</w:t>
      </w:r>
      <w:r w:rsidR="00000CE8">
        <w:noBreakHyphen/>
      </w:r>
      <w:r w:rsidRPr="00000CE8">
        <w:t>Neuve</w:t>
      </w:r>
      <w:r w:rsidR="00000CE8">
        <w:noBreakHyphen/>
      </w:r>
      <w:r w:rsidRPr="00000CE8">
        <w:t>et</w:t>
      </w:r>
      <w:r w:rsidR="00000CE8">
        <w:noBreakHyphen/>
      </w:r>
      <w:r w:rsidRPr="00000CE8">
        <w:t>Labrador</w:t>
      </w:r>
      <w:proofErr w:type="spellEnd"/>
      <w:r w:rsidRPr="00000CE8">
        <w:t xml:space="preserve">, </w:t>
      </w:r>
    </w:p>
    <w:p w:rsidR="00BB3F96" w:rsidRPr="00000CE8" w:rsidRDefault="004059A6">
      <w:pPr>
        <w:pStyle w:val="SCCLsocParty"/>
      </w:pPr>
      <w:proofErr w:type="gramStart"/>
      <w:r w:rsidRPr="00000CE8">
        <w:t>représentée</w:t>
      </w:r>
      <w:proofErr w:type="gramEnd"/>
      <w:r w:rsidRPr="00000CE8">
        <w:t xml:space="preserve"> par le Conseil du Trésor</w:t>
      </w:r>
      <w:r w:rsidR="00BB3F96" w:rsidRPr="00000CE8">
        <w:t>,</w:t>
      </w:r>
      <w:r w:rsidR="000A02DB" w:rsidRPr="00000CE8">
        <w:t xml:space="preserve"> et</w:t>
      </w:r>
      <w:r w:rsidRPr="00000CE8">
        <w:t xml:space="preserve"> </w:t>
      </w:r>
    </w:p>
    <w:p w:rsidR="00BB3F96" w:rsidRPr="00000CE8" w:rsidRDefault="004059A6">
      <w:pPr>
        <w:pStyle w:val="SCCLsocParty"/>
        <w:rPr>
          <w:lang w:val="en-US"/>
        </w:rPr>
      </w:pPr>
      <w:r w:rsidRPr="00000CE8">
        <w:rPr>
          <w:lang w:val="en-US"/>
        </w:rPr>
        <w:t xml:space="preserve">Newfoundland and Labrador Health Boards Association, </w:t>
      </w:r>
    </w:p>
    <w:p w:rsidR="00345F15" w:rsidRPr="003546DF" w:rsidRDefault="003546DF" w:rsidP="009F7B53">
      <w:pPr>
        <w:pStyle w:val="SCCLsocParty"/>
        <w:tabs>
          <w:tab w:val="right" w:pos="8280"/>
        </w:tabs>
        <w:spacing w:after="720"/>
        <w:rPr>
          <w:lang w:val="en-US"/>
        </w:rPr>
      </w:pPr>
      <w:proofErr w:type="gramStart"/>
      <w:r w:rsidRPr="003546DF">
        <w:rPr>
          <w:lang w:val="en-US"/>
        </w:rPr>
        <w:t>au</w:t>
      </w:r>
      <w:proofErr w:type="gramEnd"/>
      <w:r w:rsidRPr="003546DF">
        <w:rPr>
          <w:lang w:val="en-US"/>
        </w:rPr>
        <w:t xml:space="preserve"> nom de</w:t>
      </w:r>
      <w:r w:rsidR="00FF3D98" w:rsidRPr="003546DF">
        <w:rPr>
          <w:lang w:val="en-US"/>
        </w:rPr>
        <w:t xml:space="preserve"> </w:t>
      </w:r>
      <w:proofErr w:type="spellStart"/>
      <w:r w:rsidR="004059A6" w:rsidRPr="003546DF">
        <w:rPr>
          <w:lang w:val="en-US"/>
        </w:rPr>
        <w:t>Labrador</w:t>
      </w:r>
      <w:r w:rsidR="00000CE8" w:rsidRPr="003546DF">
        <w:rPr>
          <w:lang w:val="en-US"/>
        </w:rPr>
        <w:noBreakHyphen/>
      </w:r>
      <w:r w:rsidR="004059A6" w:rsidRPr="003546DF">
        <w:rPr>
          <w:lang w:val="en-US"/>
        </w:rPr>
        <w:t>Grenfell</w:t>
      </w:r>
      <w:proofErr w:type="spellEnd"/>
      <w:r w:rsidR="004059A6" w:rsidRPr="003546DF">
        <w:rPr>
          <w:lang w:val="en-US"/>
        </w:rPr>
        <w:t xml:space="preserve"> Regional Health Authority</w:t>
      </w:r>
      <w:r w:rsidR="009F7B53" w:rsidRPr="003546DF">
        <w:rPr>
          <w:lang w:val="en-US"/>
        </w:rPr>
        <w:tab/>
      </w:r>
      <w:proofErr w:type="spellStart"/>
      <w:r w:rsidR="004059A6" w:rsidRPr="003546DF">
        <w:rPr>
          <w:b w:val="0"/>
          <w:i/>
          <w:lang w:val="en-US"/>
        </w:rPr>
        <w:t>Intimées</w:t>
      </w:r>
      <w:proofErr w:type="spellEnd"/>
    </w:p>
    <w:p w:rsidR="00426659" w:rsidRPr="00000CE8" w:rsidRDefault="0043088E" w:rsidP="00342ED7">
      <w:pPr>
        <w:spacing w:after="720"/>
        <w:jc w:val="both"/>
        <w:rPr>
          <w:b/>
        </w:rPr>
      </w:pPr>
      <w:r w:rsidRPr="00000CE8">
        <w:rPr>
          <w:b/>
        </w:rPr>
        <w:t>Répertorié</w:t>
      </w:r>
      <w:r w:rsidR="00000CE8">
        <w:rPr>
          <w:b/>
        </w:rPr>
        <w:t> :</w:t>
      </w:r>
      <w:r w:rsidR="00C67CA5" w:rsidRPr="00000CE8">
        <w:rPr>
          <w:b/>
        </w:rPr>
        <w:t> </w:t>
      </w:r>
      <w:r w:rsidRPr="00000CE8">
        <w:rPr>
          <w:b/>
        </w:rPr>
        <w:t>Newfoundland and Labrador</w:t>
      </w:r>
      <w:r w:rsidR="00746D21" w:rsidRPr="00000CE8">
        <w:rPr>
          <w:b/>
        </w:rPr>
        <w:t xml:space="preserve"> Nurses’ Union</w:t>
      </w:r>
      <w:r w:rsidR="00426659" w:rsidRPr="00000CE8">
        <w:rPr>
          <w:b/>
        </w:rPr>
        <w:t xml:space="preserve"> </w:t>
      </w:r>
      <w:r w:rsidR="00645057" w:rsidRPr="00000CE8">
        <w:rPr>
          <w:b/>
          <w:i/>
        </w:rPr>
        <w:t>c</w:t>
      </w:r>
      <w:r w:rsidR="00426659" w:rsidRPr="00000CE8">
        <w:rPr>
          <w:b/>
          <w:i/>
        </w:rPr>
        <w:t>.</w:t>
      </w:r>
      <w:r w:rsidR="00426659" w:rsidRPr="00000CE8">
        <w:rPr>
          <w:b/>
        </w:rPr>
        <w:t xml:space="preserve"> </w:t>
      </w:r>
      <w:proofErr w:type="spellStart"/>
      <w:r w:rsidR="00746D21" w:rsidRPr="00000CE8">
        <w:rPr>
          <w:b/>
        </w:rPr>
        <w:t>Terre</w:t>
      </w:r>
      <w:r w:rsidR="00000CE8">
        <w:rPr>
          <w:b/>
        </w:rPr>
        <w:noBreakHyphen/>
      </w:r>
      <w:r w:rsidR="00746D21" w:rsidRPr="00000CE8">
        <w:rPr>
          <w:b/>
        </w:rPr>
        <w:t>Neuve</w:t>
      </w:r>
      <w:r w:rsidR="00000CE8">
        <w:rPr>
          <w:b/>
        </w:rPr>
        <w:noBreakHyphen/>
      </w:r>
      <w:r w:rsidR="00746D21" w:rsidRPr="00000CE8">
        <w:rPr>
          <w:b/>
        </w:rPr>
        <w:t>et</w:t>
      </w:r>
      <w:r w:rsidR="00000CE8">
        <w:rPr>
          <w:b/>
        </w:rPr>
        <w:noBreakHyphen/>
      </w:r>
      <w:r w:rsidR="00746D21" w:rsidRPr="00000CE8">
        <w:rPr>
          <w:b/>
        </w:rPr>
        <w:t>Labrador</w:t>
      </w:r>
      <w:proofErr w:type="spellEnd"/>
      <w:r w:rsidR="000A02DB" w:rsidRPr="00000CE8">
        <w:rPr>
          <w:b/>
        </w:rPr>
        <w:t xml:space="preserve"> (Conseil du Trésor)</w:t>
      </w:r>
    </w:p>
    <w:p w:rsidR="00426659" w:rsidRPr="00000CE8" w:rsidRDefault="00C0663B" w:rsidP="009F7B53">
      <w:pPr>
        <w:pStyle w:val="SCCSystemYear"/>
        <w:spacing w:after="720"/>
        <w:jc w:val="both"/>
      </w:pPr>
      <w:r w:rsidRPr="00000CE8">
        <w:t>2011</w:t>
      </w:r>
      <w:r w:rsidR="00EE0FAF" w:rsidRPr="00000CE8">
        <w:t xml:space="preserve"> </w:t>
      </w:r>
      <w:r w:rsidR="00C71F58" w:rsidRPr="00000CE8">
        <w:t>C</w:t>
      </w:r>
      <w:r w:rsidR="00426659" w:rsidRPr="00000CE8">
        <w:t>SC </w:t>
      </w:r>
      <w:r w:rsidR="00DF06C4" w:rsidRPr="00000CE8">
        <w:t>62</w:t>
      </w:r>
    </w:p>
    <w:p w:rsidR="008322BD" w:rsidRPr="00000CE8" w:rsidRDefault="009B57B3" w:rsidP="009F7B53">
      <w:pPr>
        <w:spacing w:after="720"/>
        <w:jc w:val="both"/>
      </w:pPr>
      <w:r w:rsidRPr="00000CE8">
        <w:t>N</w:t>
      </w:r>
      <w:r w:rsidRPr="00000CE8">
        <w:rPr>
          <w:vertAlign w:val="superscript"/>
        </w:rPr>
        <w:t>o</w:t>
      </w:r>
      <w:r w:rsidR="0043088E" w:rsidRPr="00000CE8">
        <w:t xml:space="preserve"> du greffe</w:t>
      </w:r>
      <w:r w:rsidR="00000CE8">
        <w:t> :</w:t>
      </w:r>
      <w:r w:rsidR="00C67CA5" w:rsidRPr="00000CE8">
        <w:t> </w:t>
      </w:r>
      <w:r w:rsidRPr="00000CE8">
        <w:t>33659.</w:t>
      </w:r>
    </w:p>
    <w:p w:rsidR="008322BD" w:rsidRPr="00000CE8" w:rsidRDefault="00C0663B" w:rsidP="009F7B53">
      <w:pPr>
        <w:spacing w:after="720"/>
        <w:jc w:val="both"/>
      </w:pPr>
      <w:r w:rsidRPr="00000CE8">
        <w:t>2011</w:t>
      </w:r>
      <w:r w:rsidR="00000CE8">
        <w:t> :</w:t>
      </w:r>
      <w:r w:rsidR="004A79B6" w:rsidRPr="00000CE8">
        <w:t> </w:t>
      </w:r>
      <w:r w:rsidR="00970998" w:rsidRPr="00000CE8">
        <w:t>14 </w:t>
      </w:r>
      <w:r w:rsidRPr="00000CE8">
        <w:t>octobre</w:t>
      </w:r>
      <w:r w:rsidR="009B57B3" w:rsidRPr="00000CE8">
        <w:t xml:space="preserve">; </w:t>
      </w:r>
      <w:r w:rsidR="00C766FC" w:rsidRPr="00000CE8">
        <w:t>2011</w:t>
      </w:r>
      <w:r w:rsidR="00000CE8">
        <w:t> :</w:t>
      </w:r>
      <w:r w:rsidR="00C766FC" w:rsidRPr="00000CE8">
        <w:t> </w:t>
      </w:r>
      <w:r w:rsidR="00970998" w:rsidRPr="00000CE8">
        <w:t>15 </w:t>
      </w:r>
      <w:r w:rsidR="00AC1BA9" w:rsidRPr="00000CE8">
        <w:t>décembre</w:t>
      </w:r>
      <w:r w:rsidR="009B57B3" w:rsidRPr="00000CE8">
        <w:t>.</w:t>
      </w:r>
    </w:p>
    <w:p w:rsidR="008322BD" w:rsidRPr="00000CE8" w:rsidRDefault="009B57B3" w:rsidP="009F7B53">
      <w:pPr>
        <w:spacing w:after="720"/>
        <w:jc w:val="both"/>
      </w:pPr>
      <w:r w:rsidRPr="00000CE8">
        <w:t>Pr</w:t>
      </w:r>
      <w:r w:rsidR="0043088E" w:rsidRPr="00000CE8">
        <w:t>é</w:t>
      </w:r>
      <w:r w:rsidRPr="00000CE8">
        <w:t>sent</w:t>
      </w:r>
      <w:r w:rsidR="008A6558" w:rsidRPr="00000CE8">
        <w:t>s</w:t>
      </w:r>
      <w:r w:rsidR="00000CE8">
        <w:t> :</w:t>
      </w:r>
      <w:r w:rsidR="00C67CA5" w:rsidRPr="00000CE8">
        <w:t> </w:t>
      </w:r>
      <w:r w:rsidRPr="00000CE8">
        <w:t xml:space="preserve">La juge en chef </w:t>
      </w:r>
      <w:proofErr w:type="spellStart"/>
      <w:r w:rsidRPr="00000CE8">
        <w:t>McLachlin</w:t>
      </w:r>
      <w:proofErr w:type="spellEnd"/>
      <w:r w:rsidRPr="00000CE8">
        <w:t xml:space="preserve"> et les juges LeBel, Deschamps, Fish, Abella, </w:t>
      </w:r>
      <w:proofErr w:type="spellStart"/>
      <w:r w:rsidRPr="00000CE8">
        <w:t>Rothstein</w:t>
      </w:r>
      <w:proofErr w:type="spellEnd"/>
      <w:r w:rsidRPr="00000CE8">
        <w:t xml:space="preserve"> et Cromwell.</w:t>
      </w:r>
    </w:p>
    <w:p w:rsidR="008322BD" w:rsidRPr="00000CE8" w:rsidRDefault="00AC7437" w:rsidP="009F7B53">
      <w:pPr>
        <w:pStyle w:val="SCCLowerCourtNameLowercase"/>
        <w:spacing w:after="720" w:line="240" w:lineRule="auto"/>
      </w:pPr>
      <w:r w:rsidRPr="00000CE8">
        <w:t>e</w:t>
      </w:r>
      <w:r w:rsidR="00855307" w:rsidRPr="00000CE8">
        <w:t>n</w:t>
      </w:r>
      <w:r w:rsidR="00224FC0" w:rsidRPr="00000CE8">
        <w:t xml:space="preserve"> </w:t>
      </w:r>
      <w:r w:rsidR="00855307" w:rsidRPr="00000CE8">
        <w:t>appel</w:t>
      </w:r>
      <w:r w:rsidR="00224FC0" w:rsidRPr="00000CE8">
        <w:t xml:space="preserve"> </w:t>
      </w:r>
      <w:r w:rsidR="00855307" w:rsidRPr="00000CE8">
        <w:t>de</w:t>
      </w:r>
      <w:r w:rsidR="0043088E" w:rsidRPr="00000CE8">
        <w:t xml:space="preserve"> </w:t>
      </w:r>
      <w:r w:rsidR="00855307" w:rsidRPr="00000CE8">
        <w:t>la</w:t>
      </w:r>
      <w:r w:rsidR="00224FC0" w:rsidRPr="00000CE8">
        <w:t xml:space="preserve"> </w:t>
      </w:r>
      <w:r w:rsidR="004A79B6" w:rsidRPr="00000CE8">
        <w:t>cour d’appel</w:t>
      </w:r>
      <w:r w:rsidR="009B57B3" w:rsidRPr="00000CE8">
        <w:t xml:space="preserve"> de </w:t>
      </w:r>
      <w:proofErr w:type="spellStart"/>
      <w:r w:rsidR="009B57B3" w:rsidRPr="00000CE8">
        <w:t>terre</w:t>
      </w:r>
      <w:r w:rsidR="00000CE8">
        <w:noBreakHyphen/>
      </w:r>
      <w:r w:rsidR="009B57B3" w:rsidRPr="00000CE8">
        <w:t>neuve</w:t>
      </w:r>
      <w:r w:rsidR="00000CE8">
        <w:noBreakHyphen/>
      </w:r>
      <w:r w:rsidR="009B57B3" w:rsidRPr="00000CE8">
        <w:t>et</w:t>
      </w:r>
      <w:r w:rsidR="00000CE8">
        <w:noBreakHyphen/>
      </w:r>
      <w:r w:rsidR="009B57B3" w:rsidRPr="00000CE8">
        <w:t>labrador</w:t>
      </w:r>
      <w:proofErr w:type="spellEnd"/>
    </w:p>
    <w:p w:rsidR="00E94206" w:rsidRPr="00000CE8" w:rsidRDefault="009B57B3" w:rsidP="00BD186B">
      <w:pPr>
        <w:pStyle w:val="SCCNormalDoubleSpacing"/>
        <w:spacing w:after="480"/>
      </w:pPr>
      <w:r w:rsidRPr="00000CE8">
        <w:lastRenderedPageBreak/>
        <w:tab/>
      </w:r>
      <w:r w:rsidR="00E94206" w:rsidRPr="00000CE8">
        <w:rPr>
          <w:i/>
        </w:rPr>
        <w:t xml:space="preserve">Droit administratif </w:t>
      </w:r>
      <w:r w:rsidR="00767A2A" w:rsidRPr="00000CE8">
        <w:rPr>
          <w:i/>
        </w:rPr>
        <w:t>—</w:t>
      </w:r>
      <w:r w:rsidR="00AC1BA9" w:rsidRPr="00000CE8">
        <w:rPr>
          <w:i/>
        </w:rPr>
        <w:t xml:space="preserve"> </w:t>
      </w:r>
      <w:r w:rsidR="004A65AC" w:rsidRPr="00000CE8">
        <w:rPr>
          <w:i/>
        </w:rPr>
        <w:t>Rôle et s</w:t>
      </w:r>
      <w:r w:rsidR="00F7009D" w:rsidRPr="00000CE8">
        <w:rPr>
          <w:i/>
        </w:rPr>
        <w:t>uffisance des motifs</w:t>
      </w:r>
      <w:r w:rsidR="00AC1BA9" w:rsidRPr="00000CE8">
        <w:rPr>
          <w:i/>
        </w:rPr>
        <w:t xml:space="preserve"> —</w:t>
      </w:r>
      <w:r w:rsidR="00E94206" w:rsidRPr="00000CE8">
        <w:rPr>
          <w:i/>
        </w:rPr>
        <w:t xml:space="preserve"> </w:t>
      </w:r>
      <w:r w:rsidR="00AC1BA9" w:rsidRPr="00000CE8">
        <w:rPr>
          <w:i/>
        </w:rPr>
        <w:t>Équité procédurale —</w:t>
      </w:r>
      <w:r w:rsidR="00767A2A" w:rsidRPr="00000CE8">
        <w:rPr>
          <w:i/>
        </w:rPr>
        <w:t xml:space="preserve"> </w:t>
      </w:r>
      <w:r w:rsidR="00E94206" w:rsidRPr="00000CE8">
        <w:rPr>
          <w:i/>
        </w:rPr>
        <w:t xml:space="preserve">Les motifs </w:t>
      </w:r>
      <w:proofErr w:type="spellStart"/>
      <w:r w:rsidR="00E94206" w:rsidRPr="00000CE8">
        <w:rPr>
          <w:i/>
        </w:rPr>
        <w:t>répondaient</w:t>
      </w:r>
      <w:r w:rsidR="00000CE8">
        <w:rPr>
          <w:i/>
        </w:rPr>
        <w:noBreakHyphen/>
      </w:r>
      <w:r w:rsidR="00E94206" w:rsidRPr="00000CE8">
        <w:rPr>
          <w:i/>
        </w:rPr>
        <w:t>ils</w:t>
      </w:r>
      <w:proofErr w:type="spellEnd"/>
      <w:r w:rsidR="00E94206" w:rsidRPr="00000CE8">
        <w:rPr>
          <w:i/>
        </w:rPr>
        <w:t xml:space="preserve"> aux critères de</w:t>
      </w:r>
      <w:r w:rsidR="00AC1BA9" w:rsidRPr="00000CE8">
        <w:rPr>
          <w:i/>
        </w:rPr>
        <w:t xml:space="preserve"> la</w:t>
      </w:r>
      <w:r w:rsidR="00E94206" w:rsidRPr="00000CE8">
        <w:rPr>
          <w:i/>
        </w:rPr>
        <w:t xml:space="preserve"> justification de la décision et de </w:t>
      </w:r>
      <w:r w:rsidR="00AC1BA9" w:rsidRPr="00000CE8">
        <w:rPr>
          <w:i/>
        </w:rPr>
        <w:t xml:space="preserve">la </w:t>
      </w:r>
      <w:r w:rsidR="00E94206" w:rsidRPr="00000CE8">
        <w:rPr>
          <w:i/>
        </w:rPr>
        <w:t xml:space="preserve">transparence et </w:t>
      </w:r>
      <w:r w:rsidR="00AC1BA9" w:rsidRPr="00000CE8">
        <w:rPr>
          <w:i/>
        </w:rPr>
        <w:t>l</w:t>
      </w:r>
      <w:r w:rsidR="00F7009D" w:rsidRPr="00000CE8">
        <w:rPr>
          <w:i/>
        </w:rPr>
        <w:t>’</w:t>
      </w:r>
      <w:r w:rsidR="00E94206" w:rsidRPr="00000CE8">
        <w:rPr>
          <w:i/>
        </w:rPr>
        <w:t>intelligibilité du processus décisionnel</w:t>
      </w:r>
      <w:r w:rsidR="00F7009D" w:rsidRPr="00000CE8">
        <w:rPr>
          <w:i/>
        </w:rPr>
        <w:t xml:space="preserve"> établis dans </w:t>
      </w:r>
      <w:proofErr w:type="spellStart"/>
      <w:r w:rsidR="00F7009D" w:rsidRPr="00000CE8">
        <w:rPr>
          <w:i/>
        </w:rPr>
        <w:t>Dunsmuir</w:t>
      </w:r>
      <w:proofErr w:type="spellEnd"/>
      <w:r w:rsidR="00F7009D" w:rsidRPr="00000CE8">
        <w:rPr>
          <w:i/>
        </w:rPr>
        <w:t>?</w:t>
      </w:r>
    </w:p>
    <w:p w:rsidR="008322BD" w:rsidRPr="00000CE8" w:rsidRDefault="007A5F55" w:rsidP="009F7B53">
      <w:pPr>
        <w:pStyle w:val="SCCNormalDoubleSpacing"/>
        <w:spacing w:after="480"/>
        <w:rPr>
          <w:lang w:val="fr-FR"/>
        </w:rPr>
      </w:pPr>
      <w:r w:rsidRPr="00000CE8">
        <w:tab/>
      </w:r>
      <w:r w:rsidR="00E7632A" w:rsidRPr="00000CE8">
        <w:t xml:space="preserve">Le </w:t>
      </w:r>
      <w:r w:rsidR="00F7009D" w:rsidRPr="00000CE8">
        <w:t>syndicat a contesté une décision</w:t>
      </w:r>
      <w:r w:rsidR="00E7632A" w:rsidRPr="00000CE8">
        <w:t xml:space="preserve"> de l’arbitre a</w:t>
      </w:r>
      <w:r w:rsidR="00F7009D" w:rsidRPr="00000CE8">
        <w:t>yant</w:t>
      </w:r>
      <w:r w:rsidR="00E7632A" w:rsidRPr="00000CE8">
        <w:t xml:space="preserve"> trait au calcul du nombre de congés annuels payés.  La question qu</w:t>
      </w:r>
      <w:r w:rsidR="00F7009D" w:rsidRPr="00000CE8">
        <w:t>e l’arbitre</w:t>
      </w:r>
      <w:r w:rsidR="00E7632A" w:rsidRPr="00000CE8">
        <w:t xml:space="preserve"> devait trancher </w:t>
      </w:r>
      <w:r w:rsidR="00F7009D" w:rsidRPr="00000CE8">
        <w:t>était de savoir s’il pouvait être tenu compte, dans le calcul du nombre de congés annuels payés auxquels l’employé occasionnel ayant acquis sa permanence avait droit, des heures durant lesquelles il avait travaillé à ce titre avant d’obtenir sa permanence</w:t>
      </w:r>
      <w:r w:rsidR="00E7632A" w:rsidRPr="00000CE8">
        <w:t>.</w:t>
      </w:r>
      <w:r w:rsidR="00F7009D" w:rsidRPr="00000CE8">
        <w:t xml:space="preserve">  Dans sa décision, l</w:t>
      </w:r>
      <w:r w:rsidR="00CB73EF" w:rsidRPr="00000CE8">
        <w:t>’arbitre a conclu qu’il ne fallait pas</w:t>
      </w:r>
      <w:r w:rsidR="00F7009D" w:rsidRPr="00000CE8">
        <w:t xml:space="preserve"> tenir compte de ces heures</w:t>
      </w:r>
      <w:r w:rsidR="00CB73EF" w:rsidRPr="00000CE8">
        <w:t xml:space="preserve"> dans </w:t>
      </w:r>
      <w:r w:rsidR="00F7009D" w:rsidRPr="00000CE8">
        <w:t>c</w:t>
      </w:r>
      <w:r w:rsidR="00CB73EF" w:rsidRPr="00000CE8">
        <w:t>e calcul</w:t>
      </w:r>
      <w:r w:rsidR="00E7632A" w:rsidRPr="00000CE8">
        <w:t>.</w:t>
      </w:r>
      <w:r w:rsidR="00F7009D" w:rsidRPr="00000CE8">
        <w:t xml:space="preserve">  </w:t>
      </w:r>
      <w:r w:rsidR="00CB73EF" w:rsidRPr="00000CE8">
        <w:t xml:space="preserve">En contrôle judiciaire, </w:t>
      </w:r>
      <w:r w:rsidR="00CB73EF" w:rsidRPr="00000CE8">
        <w:rPr>
          <w:lang w:val="fr-FR"/>
        </w:rPr>
        <w:t xml:space="preserve">les motifs de l’arbitre ont été jugés insuffisants et, par conséquent, déraisonnables, et sa décision a été annulée.  Les juges majoritaires de la Cour d’appel </w:t>
      </w:r>
      <w:r w:rsidR="00F7009D" w:rsidRPr="00000CE8">
        <w:rPr>
          <w:lang w:val="fr-FR"/>
        </w:rPr>
        <w:t>se s</w:t>
      </w:r>
      <w:r w:rsidR="00CB73EF" w:rsidRPr="00000CE8">
        <w:rPr>
          <w:lang w:val="fr-FR"/>
        </w:rPr>
        <w:t>ont</w:t>
      </w:r>
      <w:r w:rsidR="00F7009D" w:rsidRPr="00000CE8">
        <w:rPr>
          <w:lang w:val="fr-FR"/>
        </w:rPr>
        <w:t xml:space="preserve"> dits d’accord avec l’arbitre</w:t>
      </w:r>
      <w:r w:rsidR="00E7632A" w:rsidRPr="00000CE8">
        <w:rPr>
          <w:lang w:val="fr-FR"/>
        </w:rPr>
        <w:t>.</w:t>
      </w:r>
    </w:p>
    <w:p w:rsidR="008322BD" w:rsidRPr="00000CE8" w:rsidRDefault="009B57B3" w:rsidP="009F7B53">
      <w:pPr>
        <w:pStyle w:val="SCCNormalDoubleSpacing"/>
        <w:spacing w:after="480"/>
      </w:pPr>
      <w:r w:rsidRPr="00000CE8">
        <w:rPr>
          <w:lang w:val="fr-FR"/>
        </w:rPr>
        <w:tab/>
      </w:r>
      <w:r w:rsidR="00E7632A" w:rsidRPr="00000CE8">
        <w:rPr>
          <w:i/>
        </w:rPr>
        <w:t>Arrêt</w:t>
      </w:r>
      <w:r w:rsidR="00000CE8">
        <w:t> :</w:t>
      </w:r>
      <w:r w:rsidR="00E7632A" w:rsidRPr="00000CE8">
        <w:t xml:space="preserve"> Le pourvoi est rejeté.</w:t>
      </w:r>
    </w:p>
    <w:p w:rsidR="007834A8" w:rsidRPr="00000CE8" w:rsidRDefault="007A5F55" w:rsidP="009F7B53">
      <w:pPr>
        <w:pStyle w:val="SCCNormalDoubleSpacing"/>
        <w:spacing w:after="480"/>
      </w:pPr>
      <w:r w:rsidRPr="00000CE8">
        <w:tab/>
      </w:r>
      <w:proofErr w:type="spellStart"/>
      <w:r w:rsidRPr="00000CE8">
        <w:rPr>
          <w:i/>
        </w:rPr>
        <w:t>Dunsmuir</w:t>
      </w:r>
      <w:proofErr w:type="spellEnd"/>
      <w:r w:rsidRPr="00000CE8">
        <w:t xml:space="preserve"> a confirmé que l</w:t>
      </w:r>
      <w:r w:rsidR="00C90C88" w:rsidRPr="00000CE8">
        <w:t xml:space="preserve">a cour de révision appelée à statuer sur le caractère raisonnable d’une décision s’attache à </w:t>
      </w:r>
      <w:r w:rsidR="008519C7">
        <w:t>« </w:t>
      </w:r>
      <w:r w:rsidR="000C2493" w:rsidRPr="00000CE8">
        <w:t>la justification de la décision</w:t>
      </w:r>
      <w:r w:rsidR="00C90C88" w:rsidRPr="00000CE8">
        <w:t>, à</w:t>
      </w:r>
      <w:r w:rsidR="000C2493" w:rsidRPr="00000CE8">
        <w:t xml:space="preserve"> la transparence et</w:t>
      </w:r>
      <w:r w:rsidR="00C90C88" w:rsidRPr="00000CE8">
        <w:t xml:space="preserve"> à</w:t>
      </w:r>
      <w:r w:rsidR="000C2493" w:rsidRPr="00000CE8">
        <w:t xml:space="preserve"> l’intelligibilité du processus décisionnel</w:t>
      </w:r>
      <w:r w:rsidR="008519C7">
        <w:t> </w:t>
      </w:r>
      <w:r w:rsidR="000C2493" w:rsidRPr="00000CE8">
        <w:t>»</w:t>
      </w:r>
      <w:r w:rsidRPr="00000CE8">
        <w:t xml:space="preserve">.  </w:t>
      </w:r>
      <w:r w:rsidR="000C2493" w:rsidRPr="00000CE8">
        <w:t>Cela t</w:t>
      </w:r>
      <w:proofErr w:type="spellStart"/>
      <w:r w:rsidR="000C2493" w:rsidRPr="00000CE8">
        <w:rPr>
          <w:lang w:val="fr-FR"/>
        </w:rPr>
        <w:t>émoigne</w:t>
      </w:r>
      <w:proofErr w:type="spellEnd"/>
      <w:r w:rsidR="000C2493" w:rsidRPr="00000CE8">
        <w:rPr>
          <w:lang w:val="fr-FR"/>
        </w:rPr>
        <w:t xml:space="preserve"> d’une reconnaissance respectueuse du vaste éventail de décideurs spécialisés qui rendent des décisions — qui paraissent souvent </w:t>
      </w:r>
      <w:proofErr w:type="spellStart"/>
      <w:r w:rsidR="000C2493" w:rsidRPr="00000CE8">
        <w:rPr>
          <w:lang w:val="fr-FR"/>
        </w:rPr>
        <w:t>contre</w:t>
      </w:r>
      <w:r w:rsidR="00000CE8">
        <w:rPr>
          <w:lang w:val="fr-FR"/>
        </w:rPr>
        <w:noBreakHyphen/>
      </w:r>
      <w:r w:rsidR="000C2493" w:rsidRPr="00000CE8">
        <w:rPr>
          <w:lang w:val="fr-FR"/>
        </w:rPr>
        <w:t>intuitives</w:t>
      </w:r>
      <w:proofErr w:type="spellEnd"/>
      <w:r w:rsidR="000C2493" w:rsidRPr="00000CE8">
        <w:rPr>
          <w:lang w:val="fr-FR"/>
        </w:rPr>
        <w:t xml:space="preserve"> aux yeux d’un généraliste — dans leurs sphères d’expertise, et ce en ayant recours à des concepts et des termes </w:t>
      </w:r>
      <w:r w:rsidRPr="00000CE8">
        <w:rPr>
          <w:lang w:val="fr-FR"/>
        </w:rPr>
        <w:t xml:space="preserve">souvent </w:t>
      </w:r>
      <w:r w:rsidR="000C2493" w:rsidRPr="00000CE8">
        <w:rPr>
          <w:lang w:val="fr-FR"/>
        </w:rPr>
        <w:t>propres à leurs champs d’activité</w:t>
      </w:r>
      <w:r w:rsidR="00CB73EF" w:rsidRPr="00000CE8">
        <w:t>.</w:t>
      </w:r>
      <w:r w:rsidRPr="00000CE8">
        <w:t xml:space="preserve">  </w:t>
      </w:r>
      <w:proofErr w:type="spellStart"/>
      <w:r w:rsidR="000C2493" w:rsidRPr="00000CE8">
        <w:rPr>
          <w:i/>
          <w:lang w:val="fr-FR"/>
        </w:rPr>
        <w:t>Dunsmuir</w:t>
      </w:r>
      <w:proofErr w:type="spellEnd"/>
      <w:r w:rsidR="000C2493" w:rsidRPr="00000CE8">
        <w:rPr>
          <w:lang w:val="fr-FR"/>
        </w:rPr>
        <w:t xml:space="preserve"> ne signifie pas que </w:t>
      </w:r>
      <w:r w:rsidR="000C2493" w:rsidRPr="00000CE8">
        <w:rPr>
          <w:lang w:val="fr-FR"/>
        </w:rPr>
        <w:lastRenderedPageBreak/>
        <w:t>l’</w:t>
      </w:r>
      <w:r w:rsidR="009F5CAD" w:rsidRPr="00000CE8">
        <w:rPr>
          <w:lang w:val="fr-FR"/>
        </w:rPr>
        <w:t>« insuffisance </w:t>
      </w:r>
      <w:r w:rsidR="000C2493" w:rsidRPr="00000CE8">
        <w:rPr>
          <w:lang w:val="fr-FR"/>
        </w:rPr>
        <w:t>» des motifs permet à elle</w:t>
      </w:r>
      <w:r w:rsidRPr="00000CE8">
        <w:rPr>
          <w:lang w:val="fr-FR"/>
        </w:rPr>
        <w:t xml:space="preserve"> </w:t>
      </w:r>
      <w:r w:rsidR="000C2493" w:rsidRPr="00000CE8">
        <w:rPr>
          <w:lang w:val="fr-FR"/>
        </w:rPr>
        <w:t xml:space="preserve">seule de casser une décision, ou que les cours de révision doivent effectuer deux analyses distinctes, l’une portant sur les motifs et l’autre, sur le résultat.  </w:t>
      </w:r>
      <w:r w:rsidRPr="00000CE8">
        <w:rPr>
          <w:lang w:val="fr-FR"/>
        </w:rPr>
        <w:t>Il s’agit d’un exercice plus global</w:t>
      </w:r>
      <w:r w:rsidR="00000CE8">
        <w:rPr>
          <w:lang w:val="fr-FR"/>
        </w:rPr>
        <w:t> :</w:t>
      </w:r>
      <w:r w:rsidRPr="00000CE8">
        <w:rPr>
          <w:lang w:val="fr-FR"/>
        </w:rPr>
        <w:t xml:space="preserve"> l</w:t>
      </w:r>
      <w:r w:rsidR="000C2493" w:rsidRPr="00000CE8">
        <w:rPr>
          <w:lang w:val="fr-FR"/>
        </w:rPr>
        <w:t xml:space="preserve">es motifs doivent être examinés en corrélation avec le résultat et ils doivent permettre de savoir si ce dernier fait partie des issues possibles.  </w:t>
      </w:r>
      <w:r w:rsidR="00EB397A" w:rsidRPr="00000CE8">
        <w:rPr>
          <w:lang w:val="fr-FR"/>
        </w:rPr>
        <w:t xml:space="preserve">Il n’est pas nécessaire que les motifs fassent référence à tous les arguments ou détails que le juge siégeant en révision aurait voulu y lire, mais cela ne met pas en doute leur validité ni celle du résultat.  S’ils permettent à la cour de révision de comprendre le fondement de la décision du tribunal et de déterminer si la conclusion fait partie des issues possibles acceptables, les motifs répondent alors aux critères établis dans </w:t>
      </w:r>
      <w:proofErr w:type="spellStart"/>
      <w:r w:rsidR="00EB397A" w:rsidRPr="00000CE8">
        <w:rPr>
          <w:i/>
          <w:lang w:val="fr-FR"/>
        </w:rPr>
        <w:t>Dunsmuir</w:t>
      </w:r>
      <w:proofErr w:type="spellEnd"/>
      <w:r w:rsidR="00CB73EF" w:rsidRPr="00000CE8">
        <w:rPr>
          <w:lang w:val="fr-FR"/>
        </w:rPr>
        <w:t>.</w:t>
      </w:r>
      <w:r w:rsidR="000C2493" w:rsidRPr="00000CE8">
        <w:rPr>
          <w:lang w:val="fr-FR"/>
        </w:rPr>
        <w:t xml:space="preserve">  </w:t>
      </w:r>
      <w:r w:rsidR="00EB397A" w:rsidRPr="00000CE8">
        <w:t>Il</w:t>
      </w:r>
      <w:r w:rsidR="00EB397A" w:rsidRPr="00000CE8">
        <w:rPr>
          <w:lang w:val="fr-FR"/>
        </w:rPr>
        <w:t xml:space="preserve"> </w:t>
      </w:r>
      <w:r w:rsidR="002B4C37" w:rsidRPr="00000CE8">
        <w:rPr>
          <w:lang w:val="fr-FR"/>
        </w:rPr>
        <w:t>est</w:t>
      </w:r>
      <w:r w:rsidR="00EB397A" w:rsidRPr="00000CE8">
        <w:rPr>
          <w:lang w:val="fr-FR"/>
        </w:rPr>
        <w:t xml:space="preserve"> inutile d’expliciter l’arrêt </w:t>
      </w:r>
      <w:r w:rsidR="00EB397A" w:rsidRPr="00000CE8">
        <w:rPr>
          <w:i/>
          <w:lang w:val="fr-FR"/>
        </w:rPr>
        <w:t>Baker</w:t>
      </w:r>
      <w:r w:rsidR="00EB397A" w:rsidRPr="00000CE8">
        <w:rPr>
          <w:lang w:val="fr-FR"/>
        </w:rPr>
        <w:t xml:space="preserve"> en indiquant que les lacunes ou les vices dont seraient entachés les motifs appartiennent à la catégorie des manquements à l’obligation d’équité procédurale.  Le raisonnement qui </w:t>
      </w:r>
      <w:proofErr w:type="spellStart"/>
      <w:r w:rsidR="00EB397A" w:rsidRPr="00000CE8">
        <w:rPr>
          <w:lang w:val="fr-FR"/>
        </w:rPr>
        <w:t>sous</w:t>
      </w:r>
      <w:r w:rsidR="00000CE8">
        <w:rPr>
          <w:lang w:val="fr-FR"/>
        </w:rPr>
        <w:noBreakHyphen/>
      </w:r>
      <w:r w:rsidR="00EB397A" w:rsidRPr="00000CE8">
        <w:rPr>
          <w:lang w:val="fr-FR"/>
        </w:rPr>
        <w:t>tend</w:t>
      </w:r>
      <w:proofErr w:type="spellEnd"/>
      <w:r w:rsidR="00EB397A" w:rsidRPr="00000CE8">
        <w:rPr>
          <w:lang w:val="fr-FR"/>
        </w:rPr>
        <w:t xml:space="preserve"> la décision/le résultat ne peut être remis en question que dans le cadre de l’analyse du caractère raisonnable de </w:t>
      </w:r>
      <w:proofErr w:type="spellStart"/>
      <w:r w:rsidR="00EB397A" w:rsidRPr="00000CE8">
        <w:rPr>
          <w:lang w:val="fr-FR"/>
        </w:rPr>
        <w:t>celle</w:t>
      </w:r>
      <w:r w:rsidR="00000CE8">
        <w:rPr>
          <w:lang w:val="fr-FR"/>
        </w:rPr>
        <w:noBreakHyphen/>
      </w:r>
      <w:r w:rsidR="00EB397A" w:rsidRPr="00000CE8">
        <w:rPr>
          <w:lang w:val="fr-FR"/>
        </w:rPr>
        <w:t>ci</w:t>
      </w:r>
      <w:proofErr w:type="spellEnd"/>
      <w:r w:rsidR="00EB397A" w:rsidRPr="00000CE8">
        <w:t xml:space="preserve">.  </w:t>
      </w:r>
      <w:r w:rsidR="00EB397A" w:rsidRPr="00000CE8">
        <w:rPr>
          <w:lang w:val="fr-FR"/>
        </w:rPr>
        <w:t>En l’espèce, il ressort des motifs que l’arbitre avait bien saisi la question en litige et qu’il est parvenu à un résultat faisant sans aucun doute partie des issues possibles raisonnables.</w:t>
      </w:r>
    </w:p>
    <w:p w:rsidR="007E1C47" w:rsidRPr="00000CE8" w:rsidRDefault="0043088E" w:rsidP="009F7B53">
      <w:pPr>
        <w:pStyle w:val="SCCNormalDoubleSpacing"/>
        <w:keepNext/>
        <w:spacing w:after="720" w:line="240" w:lineRule="auto"/>
        <w:rPr>
          <w:b/>
        </w:rPr>
      </w:pPr>
      <w:r w:rsidRPr="00000CE8">
        <w:rPr>
          <w:b/>
        </w:rPr>
        <w:t>Jurisprudence</w:t>
      </w:r>
    </w:p>
    <w:p w:rsidR="002E6705" w:rsidRPr="00000CE8" w:rsidRDefault="002E6705" w:rsidP="00042B97">
      <w:pPr>
        <w:pStyle w:val="SCCNormalDoubleSpacing"/>
        <w:spacing w:after="480"/>
        <w:rPr>
          <w:b/>
        </w:rPr>
      </w:pPr>
      <w:r w:rsidRPr="00000CE8">
        <w:tab/>
      </w:r>
      <w:r w:rsidR="0043088E" w:rsidRPr="00000CE8">
        <w:rPr>
          <w:b/>
        </w:rPr>
        <w:t>Arrêts mentionnés</w:t>
      </w:r>
      <w:r w:rsidR="00000CE8">
        <w:rPr>
          <w:b/>
        </w:rPr>
        <w:t> :</w:t>
      </w:r>
      <w:r w:rsidR="00172A04" w:rsidRPr="00000CE8">
        <w:t xml:space="preserve"> </w:t>
      </w:r>
      <w:proofErr w:type="spellStart"/>
      <w:r w:rsidR="0048482F" w:rsidRPr="00000CE8">
        <w:rPr>
          <w:i/>
        </w:rPr>
        <w:t>Dunsmuir</w:t>
      </w:r>
      <w:proofErr w:type="spellEnd"/>
      <w:r w:rsidR="0048482F" w:rsidRPr="00000CE8">
        <w:rPr>
          <w:i/>
        </w:rPr>
        <w:t xml:space="preserve"> c. </w:t>
      </w:r>
      <w:proofErr w:type="spellStart"/>
      <w:r w:rsidR="0048482F" w:rsidRPr="00000CE8">
        <w:rPr>
          <w:i/>
        </w:rPr>
        <w:t>Nouveau</w:t>
      </w:r>
      <w:r w:rsidR="00000CE8">
        <w:rPr>
          <w:i/>
        </w:rPr>
        <w:noBreakHyphen/>
      </w:r>
      <w:r w:rsidR="0048482F" w:rsidRPr="00000CE8">
        <w:rPr>
          <w:i/>
        </w:rPr>
        <w:t>Brunswick</w:t>
      </w:r>
      <w:proofErr w:type="spellEnd"/>
      <w:r w:rsidR="0048482F" w:rsidRPr="00000CE8">
        <w:t xml:space="preserve">, 2008 CSC 9, [2008] 1 R.C.S. 190; </w:t>
      </w:r>
      <w:r w:rsidR="0048482F" w:rsidRPr="00000CE8">
        <w:rPr>
          <w:i/>
        </w:rPr>
        <w:t>Canada (Cit</w:t>
      </w:r>
      <w:r w:rsidR="00766BDD" w:rsidRPr="00000CE8">
        <w:rPr>
          <w:i/>
        </w:rPr>
        <w:t>oyenneté et</w:t>
      </w:r>
      <w:r w:rsidR="0048482F" w:rsidRPr="00000CE8">
        <w:rPr>
          <w:i/>
        </w:rPr>
        <w:t xml:space="preserve"> Immigration) </w:t>
      </w:r>
      <w:r w:rsidR="00766BDD" w:rsidRPr="00000CE8">
        <w:rPr>
          <w:i/>
        </w:rPr>
        <w:t>c</w:t>
      </w:r>
      <w:r w:rsidR="0048482F" w:rsidRPr="00000CE8">
        <w:rPr>
          <w:i/>
        </w:rPr>
        <w:t xml:space="preserve">. </w:t>
      </w:r>
      <w:proofErr w:type="spellStart"/>
      <w:r w:rsidR="0048482F" w:rsidRPr="00000CE8">
        <w:rPr>
          <w:i/>
        </w:rPr>
        <w:t>Khosa</w:t>
      </w:r>
      <w:proofErr w:type="spellEnd"/>
      <w:r w:rsidR="0048482F" w:rsidRPr="00000CE8">
        <w:t xml:space="preserve">, 2009 </w:t>
      </w:r>
      <w:r w:rsidR="00766BDD" w:rsidRPr="00000CE8">
        <w:t>C</w:t>
      </w:r>
      <w:r w:rsidR="0048482F" w:rsidRPr="00000CE8">
        <w:t xml:space="preserve">SC 12, [2009] 1 </w:t>
      </w:r>
      <w:r w:rsidR="00766BDD" w:rsidRPr="00000CE8">
        <w:t>R.C.</w:t>
      </w:r>
      <w:r w:rsidR="0048482F" w:rsidRPr="00000CE8">
        <w:t xml:space="preserve">S. 339; </w:t>
      </w:r>
      <w:r w:rsidR="0048482F" w:rsidRPr="00000CE8">
        <w:rPr>
          <w:i/>
        </w:rPr>
        <w:t xml:space="preserve">Syndicat canadien de la Fonction publique, section locale 963 c. Société des alcools du </w:t>
      </w:r>
      <w:proofErr w:type="spellStart"/>
      <w:r w:rsidR="0048482F" w:rsidRPr="00000CE8">
        <w:rPr>
          <w:i/>
        </w:rPr>
        <w:t>Nouveau</w:t>
      </w:r>
      <w:r w:rsidR="00000CE8">
        <w:rPr>
          <w:i/>
        </w:rPr>
        <w:noBreakHyphen/>
      </w:r>
      <w:r w:rsidR="0048482F" w:rsidRPr="00000CE8">
        <w:rPr>
          <w:i/>
        </w:rPr>
        <w:t>Brunswick</w:t>
      </w:r>
      <w:proofErr w:type="spellEnd"/>
      <w:r w:rsidR="0048482F" w:rsidRPr="00000CE8">
        <w:t xml:space="preserve">, [1979] 2 R.C.S. 227; </w:t>
      </w:r>
      <w:r w:rsidR="0048482F" w:rsidRPr="00000CE8">
        <w:rPr>
          <w:i/>
        </w:rPr>
        <w:t xml:space="preserve">Union </w:t>
      </w:r>
      <w:r w:rsidR="0048482F" w:rsidRPr="00000CE8">
        <w:rPr>
          <w:i/>
        </w:rPr>
        <w:lastRenderedPageBreak/>
        <w:t>internationale des employés des services, local n</w:t>
      </w:r>
      <w:r w:rsidR="0048482F" w:rsidRPr="00000CE8">
        <w:rPr>
          <w:i/>
          <w:vertAlign w:val="superscript"/>
        </w:rPr>
        <w:t>o</w:t>
      </w:r>
      <w:r w:rsidR="009F5CAD" w:rsidRPr="00000CE8">
        <w:rPr>
          <w:i/>
        </w:rPr>
        <w:t> </w:t>
      </w:r>
      <w:r w:rsidR="0048482F" w:rsidRPr="00000CE8">
        <w:rPr>
          <w:i/>
        </w:rPr>
        <w:t xml:space="preserve">333 c. </w:t>
      </w:r>
      <w:proofErr w:type="spellStart"/>
      <w:r w:rsidR="0048482F" w:rsidRPr="00000CE8">
        <w:rPr>
          <w:i/>
        </w:rPr>
        <w:t>Nipawin</w:t>
      </w:r>
      <w:proofErr w:type="spellEnd"/>
      <w:r w:rsidR="0048482F" w:rsidRPr="00000CE8">
        <w:rPr>
          <w:i/>
        </w:rPr>
        <w:t xml:space="preserve"> District Staff Nurses </w:t>
      </w:r>
      <w:proofErr w:type="spellStart"/>
      <w:r w:rsidR="0048482F" w:rsidRPr="00000CE8">
        <w:rPr>
          <w:i/>
        </w:rPr>
        <w:t>Assn</w:t>
      </w:r>
      <w:proofErr w:type="spellEnd"/>
      <w:r w:rsidR="0048482F" w:rsidRPr="00000CE8">
        <w:rPr>
          <w:i/>
        </w:rPr>
        <w:t>.</w:t>
      </w:r>
      <w:r w:rsidR="0048482F" w:rsidRPr="00000CE8">
        <w:t xml:space="preserve">, [1975] 1 R.C.S. 382; </w:t>
      </w:r>
      <w:r w:rsidR="0048482F" w:rsidRPr="00000CE8">
        <w:rPr>
          <w:i/>
        </w:rPr>
        <w:t xml:space="preserve">Société canadienne des postes c. </w:t>
      </w:r>
      <w:r w:rsidR="00766BDD" w:rsidRPr="00000CE8">
        <w:rPr>
          <w:i/>
        </w:rPr>
        <w:t>Alliance de la Fonction p</w:t>
      </w:r>
      <w:r w:rsidR="0048482F" w:rsidRPr="00000CE8">
        <w:rPr>
          <w:i/>
        </w:rPr>
        <w:t>ubli</w:t>
      </w:r>
      <w:r w:rsidR="00766BDD" w:rsidRPr="00000CE8">
        <w:rPr>
          <w:i/>
        </w:rPr>
        <w:t>que du</w:t>
      </w:r>
      <w:r w:rsidR="0048482F" w:rsidRPr="00000CE8">
        <w:rPr>
          <w:i/>
        </w:rPr>
        <w:t xml:space="preserve"> Canada</w:t>
      </w:r>
      <w:r w:rsidR="0048482F" w:rsidRPr="00000CE8">
        <w:t>, 2010 CA</w:t>
      </w:r>
      <w:r w:rsidR="00766BDD" w:rsidRPr="00000CE8">
        <w:t>F</w:t>
      </w:r>
      <w:r w:rsidR="0048482F" w:rsidRPr="00000CE8">
        <w:t xml:space="preserve"> 56, [2011] 2 </w:t>
      </w:r>
      <w:r w:rsidR="00766BDD" w:rsidRPr="00000CE8">
        <w:t>R.C.</w:t>
      </w:r>
      <w:r w:rsidR="0048482F" w:rsidRPr="00000CE8">
        <w:t xml:space="preserve">F. 221, </w:t>
      </w:r>
      <w:r w:rsidR="00766BDD" w:rsidRPr="00000CE8">
        <w:t xml:space="preserve">inf. en partie par </w:t>
      </w:r>
      <w:r w:rsidR="0048482F" w:rsidRPr="00000CE8">
        <w:t xml:space="preserve">2011 </w:t>
      </w:r>
      <w:r w:rsidR="00766BDD" w:rsidRPr="00000CE8">
        <w:t>C</w:t>
      </w:r>
      <w:r w:rsidR="0048482F" w:rsidRPr="00000CE8">
        <w:t>SC 57</w:t>
      </w:r>
      <w:r w:rsidR="00E1110A">
        <w:t>, [2011] 3 R.C.S. 572</w:t>
      </w:r>
      <w:r w:rsidR="0048482F" w:rsidRPr="00000CE8">
        <w:t xml:space="preserve">; </w:t>
      </w:r>
      <w:r w:rsidR="0048482F" w:rsidRPr="00000CE8">
        <w:rPr>
          <w:i/>
        </w:rPr>
        <w:t>Baker c. Canada (Ministre de la Citoyenneté et de l’Immigration)</w:t>
      </w:r>
      <w:r w:rsidR="0048482F" w:rsidRPr="00000CE8">
        <w:t>, [1999] 2 R.C.S. 817.</w:t>
      </w:r>
    </w:p>
    <w:p w:rsidR="002E6705" w:rsidRPr="00000CE8" w:rsidRDefault="0043088E" w:rsidP="00042B97">
      <w:pPr>
        <w:pStyle w:val="SCCNormalDoubleSpacing"/>
        <w:keepNext/>
        <w:spacing w:after="720" w:line="240" w:lineRule="auto"/>
        <w:rPr>
          <w:b/>
          <w:lang w:val="en-US"/>
        </w:rPr>
      </w:pPr>
      <w:r w:rsidRPr="00000CE8">
        <w:rPr>
          <w:b/>
          <w:lang w:val="en-US"/>
        </w:rPr>
        <w:t>Doctrine</w:t>
      </w:r>
      <w:r w:rsidR="002E6705" w:rsidRPr="00000CE8">
        <w:rPr>
          <w:b/>
          <w:lang w:val="en-US"/>
        </w:rPr>
        <w:t xml:space="preserve"> </w:t>
      </w:r>
      <w:proofErr w:type="spellStart"/>
      <w:r w:rsidRPr="00000CE8">
        <w:rPr>
          <w:b/>
          <w:lang w:val="en-US"/>
        </w:rPr>
        <w:t>c</w:t>
      </w:r>
      <w:r w:rsidR="002E6705" w:rsidRPr="00000CE8">
        <w:rPr>
          <w:b/>
          <w:lang w:val="en-US"/>
        </w:rPr>
        <w:t>it</w:t>
      </w:r>
      <w:r w:rsidRPr="00000CE8">
        <w:rPr>
          <w:b/>
          <w:lang w:val="en-US"/>
        </w:rPr>
        <w:t>é</w:t>
      </w:r>
      <w:r w:rsidR="002E6705" w:rsidRPr="00000CE8">
        <w:rPr>
          <w:b/>
          <w:lang w:val="en-US"/>
        </w:rPr>
        <w:t>e</w:t>
      </w:r>
      <w:proofErr w:type="spellEnd"/>
    </w:p>
    <w:p w:rsidR="002B3CAC" w:rsidRPr="00000CE8" w:rsidRDefault="00042B97" w:rsidP="00042B97">
      <w:pPr>
        <w:pStyle w:val="SCCNormalDoubleSpacing"/>
        <w:spacing w:after="240" w:line="240" w:lineRule="auto"/>
        <w:ind w:left="547" w:hanging="547"/>
        <w:rPr>
          <w:lang w:val="en-US"/>
        </w:rPr>
      </w:pPr>
      <w:r w:rsidRPr="00000CE8">
        <w:rPr>
          <w:lang w:val="en-US"/>
        </w:rPr>
        <w:t>Adams, George </w:t>
      </w:r>
      <w:r w:rsidR="002B3CAC" w:rsidRPr="00000CE8">
        <w:rPr>
          <w:lang w:val="en-US"/>
        </w:rPr>
        <w:t xml:space="preserve">W.  </w:t>
      </w:r>
      <w:proofErr w:type="gramStart"/>
      <w:r w:rsidR="002B3CAC" w:rsidRPr="00000CE8">
        <w:rPr>
          <w:i/>
          <w:lang w:val="en-US"/>
        </w:rPr>
        <w:t xml:space="preserve">Canadian </w:t>
      </w:r>
      <w:proofErr w:type="spellStart"/>
      <w:r w:rsidR="002B3CAC" w:rsidRPr="00000CE8">
        <w:rPr>
          <w:i/>
          <w:lang w:val="en-US"/>
        </w:rPr>
        <w:t>Labour</w:t>
      </w:r>
      <w:proofErr w:type="spellEnd"/>
      <w:r w:rsidR="002B3CAC" w:rsidRPr="00000CE8">
        <w:rPr>
          <w:i/>
          <w:lang w:val="en-US"/>
        </w:rPr>
        <w:t xml:space="preserve"> Law</w:t>
      </w:r>
      <w:r w:rsidR="002B3CAC" w:rsidRPr="00000CE8">
        <w:rPr>
          <w:lang w:val="en-US"/>
        </w:rPr>
        <w:t>, 2nd ed.</w:t>
      </w:r>
      <w:r w:rsidR="006C6AE8">
        <w:rPr>
          <w:lang w:val="en-US"/>
        </w:rPr>
        <w:t>, vol. 1.</w:t>
      </w:r>
      <w:proofErr w:type="gramEnd"/>
      <w:r w:rsidR="00E1110A">
        <w:rPr>
          <w:lang w:val="en-US"/>
        </w:rPr>
        <w:t xml:space="preserve"> </w:t>
      </w:r>
      <w:r w:rsidR="002B3CAC" w:rsidRPr="00000CE8">
        <w:rPr>
          <w:lang w:val="en-US"/>
        </w:rPr>
        <w:t xml:space="preserve"> </w:t>
      </w:r>
      <w:proofErr w:type="gramStart"/>
      <w:r w:rsidR="002B3CAC" w:rsidRPr="00000CE8">
        <w:rPr>
          <w:lang w:val="en-US"/>
        </w:rPr>
        <w:t>Toronto</w:t>
      </w:r>
      <w:r w:rsidR="00000CE8">
        <w:rPr>
          <w:lang w:val="en-US"/>
        </w:rPr>
        <w:t> :</w:t>
      </w:r>
      <w:proofErr w:type="gramEnd"/>
      <w:r w:rsidR="002B3CAC" w:rsidRPr="00000CE8">
        <w:rPr>
          <w:lang w:val="en-US"/>
        </w:rPr>
        <w:t xml:space="preserve"> Canada Law Book, 1993 (</w:t>
      </w:r>
      <w:proofErr w:type="spellStart"/>
      <w:r w:rsidR="002B3CAC" w:rsidRPr="00000CE8">
        <w:rPr>
          <w:lang w:val="en-US"/>
        </w:rPr>
        <w:t>loose</w:t>
      </w:r>
      <w:r w:rsidR="00000CE8">
        <w:rPr>
          <w:lang w:val="en-US"/>
        </w:rPr>
        <w:noBreakHyphen/>
      </w:r>
      <w:r w:rsidR="002B3CAC" w:rsidRPr="00000CE8">
        <w:rPr>
          <w:lang w:val="en-US"/>
        </w:rPr>
        <w:t>leaf</w:t>
      </w:r>
      <w:proofErr w:type="spellEnd"/>
      <w:r w:rsidR="002B3CAC" w:rsidRPr="00000CE8">
        <w:rPr>
          <w:lang w:val="en-US"/>
        </w:rPr>
        <w:t xml:space="preserve"> updated October 2011, release </w:t>
      </w:r>
      <w:r w:rsidR="0036142E" w:rsidRPr="00000CE8">
        <w:rPr>
          <w:lang w:val="en-US"/>
        </w:rPr>
        <w:t>40</w:t>
      </w:r>
      <w:r w:rsidR="002B3CAC" w:rsidRPr="00000CE8">
        <w:rPr>
          <w:lang w:val="en-US"/>
        </w:rPr>
        <w:t>).</w:t>
      </w:r>
    </w:p>
    <w:p w:rsidR="002B3CAC" w:rsidRPr="00000CE8" w:rsidRDefault="00042B97" w:rsidP="00042B97">
      <w:pPr>
        <w:pStyle w:val="SCCNormalDoubleSpacing"/>
        <w:spacing w:after="240" w:line="240" w:lineRule="auto"/>
        <w:ind w:left="547" w:hanging="547"/>
        <w:rPr>
          <w:lang w:val="en-US"/>
        </w:rPr>
      </w:pPr>
      <w:proofErr w:type="gramStart"/>
      <w:r w:rsidRPr="00000CE8">
        <w:rPr>
          <w:lang w:val="en-US"/>
        </w:rPr>
        <w:t>Brown, Donald J. M., and John </w:t>
      </w:r>
      <w:r w:rsidR="002B3CAC" w:rsidRPr="00000CE8">
        <w:rPr>
          <w:lang w:val="en-US"/>
        </w:rPr>
        <w:t>M. Evans, w</w:t>
      </w:r>
      <w:r w:rsidR="00970998" w:rsidRPr="00000CE8">
        <w:rPr>
          <w:lang w:val="en-US"/>
        </w:rPr>
        <w:t>ith the assistance of Christine </w:t>
      </w:r>
      <w:r w:rsidR="002B3CAC" w:rsidRPr="00000CE8">
        <w:rPr>
          <w:lang w:val="en-US"/>
        </w:rPr>
        <w:t>E. Deacon.</w:t>
      </w:r>
      <w:proofErr w:type="gramEnd"/>
      <w:r w:rsidR="002B3CAC" w:rsidRPr="00000CE8">
        <w:rPr>
          <w:lang w:val="en-US"/>
        </w:rPr>
        <w:t xml:space="preserve">  </w:t>
      </w:r>
      <w:proofErr w:type="gramStart"/>
      <w:r w:rsidR="002B3CAC" w:rsidRPr="00000CE8">
        <w:rPr>
          <w:i/>
          <w:lang w:val="en-US"/>
        </w:rPr>
        <w:t>Judicial Review of Administrative Action in Canada</w:t>
      </w:r>
      <w:r w:rsidR="002B3CAC" w:rsidRPr="00000CE8">
        <w:rPr>
          <w:lang w:val="en-US"/>
        </w:rPr>
        <w:t xml:space="preserve">, </w:t>
      </w:r>
      <w:r w:rsidR="00000CE8">
        <w:rPr>
          <w:lang w:val="en-US"/>
        </w:rPr>
        <w:t>vol. </w:t>
      </w:r>
      <w:r w:rsidR="002B3CAC" w:rsidRPr="00000CE8">
        <w:rPr>
          <w:lang w:val="en-US"/>
        </w:rPr>
        <w:t>3.</w:t>
      </w:r>
      <w:proofErr w:type="gramEnd"/>
      <w:r w:rsidR="002B3CAC" w:rsidRPr="00000CE8">
        <w:rPr>
          <w:lang w:val="en-US"/>
        </w:rPr>
        <w:t xml:space="preserve">  </w:t>
      </w:r>
      <w:proofErr w:type="gramStart"/>
      <w:r w:rsidR="002B3CAC" w:rsidRPr="00000CE8">
        <w:rPr>
          <w:lang w:val="en-US"/>
        </w:rPr>
        <w:t>Toronto</w:t>
      </w:r>
      <w:r w:rsidR="00000CE8">
        <w:rPr>
          <w:lang w:val="en-US"/>
        </w:rPr>
        <w:t> :</w:t>
      </w:r>
      <w:proofErr w:type="gramEnd"/>
      <w:r w:rsidR="002B3CAC" w:rsidRPr="00000CE8">
        <w:rPr>
          <w:lang w:val="en-US"/>
        </w:rPr>
        <w:t xml:space="preserve"> Canvasback, 1998 (</w:t>
      </w:r>
      <w:proofErr w:type="spellStart"/>
      <w:r w:rsidR="002B3CAC" w:rsidRPr="00000CE8">
        <w:rPr>
          <w:lang w:val="en-US"/>
        </w:rPr>
        <w:t>loose</w:t>
      </w:r>
      <w:r w:rsidR="00000CE8">
        <w:rPr>
          <w:lang w:val="en-US"/>
        </w:rPr>
        <w:noBreakHyphen/>
      </w:r>
      <w:r w:rsidR="002B3CAC" w:rsidRPr="00000CE8">
        <w:rPr>
          <w:lang w:val="en-US"/>
        </w:rPr>
        <w:t>leaf</w:t>
      </w:r>
      <w:proofErr w:type="spellEnd"/>
      <w:r w:rsidR="002B3CAC" w:rsidRPr="00000CE8">
        <w:rPr>
          <w:lang w:val="en-US"/>
        </w:rPr>
        <w:t xml:space="preserve"> updated August 2011).</w:t>
      </w:r>
    </w:p>
    <w:p w:rsidR="002B3CAC" w:rsidRPr="00000CE8" w:rsidRDefault="002B3CAC" w:rsidP="00042B97">
      <w:pPr>
        <w:pStyle w:val="SCCNormalDoubleSpacing"/>
        <w:spacing w:after="240" w:line="240" w:lineRule="auto"/>
        <w:ind w:left="547" w:hanging="547"/>
        <w:rPr>
          <w:lang w:val="en-US"/>
        </w:rPr>
      </w:pPr>
      <w:proofErr w:type="spellStart"/>
      <w:r w:rsidRPr="00000CE8">
        <w:rPr>
          <w:lang w:val="en-US"/>
        </w:rPr>
        <w:t>Bryden</w:t>
      </w:r>
      <w:proofErr w:type="spellEnd"/>
      <w:r w:rsidRPr="00000CE8">
        <w:rPr>
          <w:lang w:val="en-US"/>
        </w:rPr>
        <w:t>, Phili</w:t>
      </w:r>
      <w:r w:rsidR="00000CE8">
        <w:rPr>
          <w:lang w:val="en-US"/>
        </w:rPr>
        <w:t>p. </w:t>
      </w:r>
      <w:r w:rsidRPr="00000CE8">
        <w:rPr>
          <w:lang w:val="en-US"/>
        </w:rPr>
        <w:t xml:space="preserve"> </w:t>
      </w:r>
      <w:r w:rsidR="00DF006D" w:rsidRPr="00000CE8">
        <w:rPr>
          <w:lang w:val="en-US"/>
        </w:rPr>
        <w:t>« </w:t>
      </w:r>
      <w:r w:rsidRPr="00000CE8">
        <w:rPr>
          <w:lang w:val="en-US"/>
        </w:rPr>
        <w:t xml:space="preserve">Standards of Review and Sufficiency of </w:t>
      </w:r>
      <w:proofErr w:type="gramStart"/>
      <w:r w:rsidRPr="00000CE8">
        <w:rPr>
          <w:lang w:val="en-US"/>
        </w:rPr>
        <w:t>Reasons</w:t>
      </w:r>
      <w:r w:rsidR="00000CE8">
        <w:rPr>
          <w:lang w:val="en-US"/>
        </w:rPr>
        <w:t> :</w:t>
      </w:r>
      <w:proofErr w:type="gramEnd"/>
      <w:r w:rsidRPr="00000CE8">
        <w:rPr>
          <w:lang w:val="en-US"/>
        </w:rPr>
        <w:t xml:space="preserve"> Some Practical Considerations</w:t>
      </w:r>
      <w:r w:rsidR="00DF006D" w:rsidRPr="00000CE8">
        <w:rPr>
          <w:lang w:val="en-US"/>
        </w:rPr>
        <w:t> »</w:t>
      </w:r>
      <w:r w:rsidRPr="00000CE8">
        <w:rPr>
          <w:lang w:val="en-US"/>
        </w:rPr>
        <w:t xml:space="preserve"> (2006), 19 </w:t>
      </w:r>
      <w:r w:rsidRPr="00000CE8">
        <w:rPr>
          <w:i/>
          <w:lang w:val="en-US"/>
        </w:rPr>
        <w:t>C.J.A.L.</w:t>
      </w:r>
      <w:r w:rsidR="00000CE8">
        <w:rPr>
          <w:i/>
          <w:lang w:val="en-US"/>
        </w:rPr>
        <w:t>P. </w:t>
      </w:r>
      <w:r w:rsidRPr="00000CE8">
        <w:rPr>
          <w:lang w:val="en-US"/>
        </w:rPr>
        <w:t>191.</w:t>
      </w:r>
    </w:p>
    <w:p w:rsidR="002B3CAC" w:rsidRPr="00000CE8" w:rsidRDefault="002B3CAC" w:rsidP="00042B97">
      <w:pPr>
        <w:pStyle w:val="SCCNormalDoubleSpacing"/>
        <w:spacing w:after="240" w:line="240" w:lineRule="auto"/>
        <w:ind w:left="547" w:hanging="547"/>
        <w:rPr>
          <w:lang w:val="en-US"/>
        </w:rPr>
      </w:pPr>
      <w:proofErr w:type="spellStart"/>
      <w:r w:rsidRPr="00000CE8">
        <w:rPr>
          <w:lang w:val="en-US"/>
        </w:rPr>
        <w:t>Dyzenhaus</w:t>
      </w:r>
      <w:proofErr w:type="spellEnd"/>
      <w:r w:rsidRPr="00000CE8">
        <w:rPr>
          <w:lang w:val="en-US"/>
        </w:rPr>
        <w:t xml:space="preserve">, David. </w:t>
      </w:r>
      <w:r w:rsidR="00DF006D" w:rsidRPr="00000CE8">
        <w:rPr>
          <w:lang w:val="en-US"/>
        </w:rPr>
        <w:t xml:space="preserve"> « </w:t>
      </w:r>
      <w:r w:rsidRPr="00000CE8">
        <w:rPr>
          <w:lang w:val="en-US"/>
        </w:rPr>
        <w:t xml:space="preserve">The Politics of </w:t>
      </w:r>
      <w:proofErr w:type="gramStart"/>
      <w:r w:rsidRPr="00000CE8">
        <w:rPr>
          <w:lang w:val="en-US"/>
        </w:rPr>
        <w:t>Deference</w:t>
      </w:r>
      <w:r w:rsidR="00000CE8">
        <w:rPr>
          <w:lang w:val="en-US"/>
        </w:rPr>
        <w:t> :</w:t>
      </w:r>
      <w:proofErr w:type="gramEnd"/>
      <w:r w:rsidRPr="00000CE8">
        <w:rPr>
          <w:lang w:val="en-US"/>
        </w:rPr>
        <w:t xml:space="preserve"> Judicial Review and Democracy</w:t>
      </w:r>
      <w:r w:rsidR="00DF006D" w:rsidRPr="00000CE8">
        <w:rPr>
          <w:lang w:val="en-US"/>
        </w:rPr>
        <w:t> »</w:t>
      </w:r>
      <w:r w:rsidRPr="00000CE8">
        <w:rPr>
          <w:lang w:val="en-US"/>
        </w:rPr>
        <w:t xml:space="preserve">, in Michael Taggart, ed., </w:t>
      </w:r>
      <w:r w:rsidRPr="00000CE8">
        <w:rPr>
          <w:i/>
          <w:lang w:val="en-US"/>
        </w:rPr>
        <w:t>The Province of Administrative Law</w:t>
      </w:r>
      <w:r w:rsidRPr="00000CE8">
        <w:rPr>
          <w:lang w:val="en-US"/>
        </w:rPr>
        <w:t xml:space="preserve">.  </w:t>
      </w:r>
      <w:proofErr w:type="gramStart"/>
      <w:r w:rsidRPr="00000CE8">
        <w:rPr>
          <w:lang w:val="en-US"/>
        </w:rPr>
        <w:t>Oxford</w:t>
      </w:r>
      <w:r w:rsidR="00000CE8">
        <w:rPr>
          <w:lang w:val="en-US"/>
        </w:rPr>
        <w:t> :</w:t>
      </w:r>
      <w:proofErr w:type="gramEnd"/>
      <w:r w:rsidRPr="00000CE8">
        <w:rPr>
          <w:lang w:val="en-US"/>
        </w:rPr>
        <w:t xml:space="preserve"> Hart, 1997, 279.</w:t>
      </w:r>
    </w:p>
    <w:p w:rsidR="002B3CAC" w:rsidRPr="00000CE8" w:rsidRDefault="002B3CAC" w:rsidP="00042B97">
      <w:pPr>
        <w:pStyle w:val="SCCNormalDoubleSpacing"/>
        <w:spacing w:after="240" w:line="240" w:lineRule="auto"/>
        <w:ind w:left="547" w:hanging="547"/>
        <w:rPr>
          <w:lang w:val="en-US"/>
        </w:rPr>
      </w:pPr>
      <w:proofErr w:type="spellStart"/>
      <w:r w:rsidRPr="00000CE8">
        <w:rPr>
          <w:lang w:val="en-US"/>
        </w:rPr>
        <w:t>Huscroft</w:t>
      </w:r>
      <w:proofErr w:type="spellEnd"/>
      <w:r w:rsidRPr="00000CE8">
        <w:rPr>
          <w:lang w:val="en-US"/>
        </w:rPr>
        <w:t xml:space="preserve">, Grant. </w:t>
      </w:r>
      <w:r w:rsidR="00DF006D" w:rsidRPr="00000CE8">
        <w:rPr>
          <w:lang w:val="en-US"/>
        </w:rPr>
        <w:t xml:space="preserve"> « </w:t>
      </w:r>
      <w:r w:rsidRPr="00000CE8">
        <w:rPr>
          <w:lang w:val="en-US"/>
        </w:rPr>
        <w:t xml:space="preserve">The Duty of </w:t>
      </w:r>
      <w:proofErr w:type="gramStart"/>
      <w:r w:rsidRPr="00000CE8">
        <w:rPr>
          <w:lang w:val="en-US"/>
        </w:rPr>
        <w:t>Fairness</w:t>
      </w:r>
      <w:r w:rsidR="00000CE8">
        <w:rPr>
          <w:lang w:val="en-US"/>
        </w:rPr>
        <w:t> :</w:t>
      </w:r>
      <w:proofErr w:type="gramEnd"/>
      <w:r w:rsidRPr="00000CE8">
        <w:rPr>
          <w:lang w:val="en-US"/>
        </w:rPr>
        <w:t xml:space="preserve"> From Nicholson to Baker and Beyond</w:t>
      </w:r>
      <w:r w:rsidR="00DF006D" w:rsidRPr="00000CE8">
        <w:rPr>
          <w:lang w:val="en-US"/>
        </w:rPr>
        <w:t> »</w:t>
      </w:r>
      <w:r w:rsidR="00042B97" w:rsidRPr="00000CE8">
        <w:rPr>
          <w:lang w:val="en-US"/>
        </w:rPr>
        <w:t>, in Colleen </w:t>
      </w:r>
      <w:r w:rsidRPr="00000CE8">
        <w:rPr>
          <w:lang w:val="en-US"/>
        </w:rPr>
        <w:t xml:space="preserve">M. Flood and Lorne Sossin, eds., </w:t>
      </w:r>
      <w:r w:rsidRPr="00000CE8">
        <w:rPr>
          <w:i/>
          <w:lang w:val="en-US"/>
        </w:rPr>
        <w:t>Administrative Law in Context</w:t>
      </w:r>
      <w:r w:rsidRPr="00000CE8">
        <w:rPr>
          <w:lang w:val="en-US"/>
        </w:rPr>
        <w:t xml:space="preserve">.  </w:t>
      </w:r>
      <w:proofErr w:type="gramStart"/>
      <w:r w:rsidRPr="00000CE8">
        <w:rPr>
          <w:lang w:val="en-US"/>
        </w:rPr>
        <w:t>Toronto</w:t>
      </w:r>
      <w:r w:rsidR="00000CE8">
        <w:rPr>
          <w:lang w:val="en-US"/>
        </w:rPr>
        <w:t> :</w:t>
      </w:r>
      <w:proofErr w:type="gramEnd"/>
      <w:r w:rsidRPr="00000CE8">
        <w:rPr>
          <w:lang w:val="en-US"/>
        </w:rPr>
        <w:t xml:space="preserve"> </w:t>
      </w:r>
      <w:proofErr w:type="spellStart"/>
      <w:r w:rsidRPr="00000CE8">
        <w:rPr>
          <w:lang w:val="en-US"/>
        </w:rPr>
        <w:t>Emond</w:t>
      </w:r>
      <w:proofErr w:type="spellEnd"/>
      <w:r w:rsidRPr="00000CE8">
        <w:rPr>
          <w:lang w:val="en-US"/>
        </w:rPr>
        <w:t xml:space="preserve"> Montgomery, 2008, 115.</w:t>
      </w:r>
    </w:p>
    <w:p w:rsidR="002B3CAC" w:rsidRPr="00000CE8" w:rsidRDefault="00042B97" w:rsidP="00042B97">
      <w:pPr>
        <w:pStyle w:val="SCCNormalDoubleSpacing"/>
        <w:spacing w:after="240" w:line="240" w:lineRule="auto"/>
        <w:ind w:left="547" w:hanging="547"/>
        <w:rPr>
          <w:lang w:val="en-US"/>
        </w:rPr>
      </w:pPr>
      <w:proofErr w:type="gramStart"/>
      <w:r w:rsidRPr="00000CE8">
        <w:rPr>
          <w:lang w:val="en-US"/>
        </w:rPr>
        <w:t>Jones, David Phillip, and Anne </w:t>
      </w:r>
      <w:r w:rsidR="002B3CAC" w:rsidRPr="00000CE8">
        <w:rPr>
          <w:lang w:val="en-US"/>
        </w:rPr>
        <w:t>S. de Villars.</w:t>
      </w:r>
      <w:proofErr w:type="gramEnd"/>
      <w:r w:rsidR="002B3CAC" w:rsidRPr="00000CE8">
        <w:rPr>
          <w:lang w:val="en-US"/>
        </w:rPr>
        <w:t xml:space="preserve">  </w:t>
      </w:r>
      <w:r w:rsidR="002B3CAC" w:rsidRPr="00000CE8">
        <w:rPr>
          <w:i/>
          <w:lang w:val="en-US"/>
        </w:rPr>
        <w:t>Principles of Administrative Law</w:t>
      </w:r>
      <w:r w:rsidR="002B3CAC" w:rsidRPr="00000CE8">
        <w:rPr>
          <w:lang w:val="en-US"/>
        </w:rPr>
        <w:t xml:space="preserve">, 5th </w:t>
      </w:r>
      <w:proofErr w:type="gramStart"/>
      <w:r w:rsidR="002B3CAC" w:rsidRPr="00000CE8">
        <w:rPr>
          <w:lang w:val="en-US"/>
        </w:rPr>
        <w:t>ed</w:t>
      </w:r>
      <w:proofErr w:type="gramEnd"/>
      <w:r w:rsidR="002B3CAC" w:rsidRPr="00000CE8">
        <w:rPr>
          <w:lang w:val="en-US"/>
        </w:rPr>
        <w:t xml:space="preserve">.  </w:t>
      </w:r>
      <w:proofErr w:type="gramStart"/>
      <w:r w:rsidR="002B3CAC" w:rsidRPr="00000CE8">
        <w:rPr>
          <w:lang w:val="en-US"/>
        </w:rPr>
        <w:t>Toronto</w:t>
      </w:r>
      <w:r w:rsidR="00000CE8">
        <w:rPr>
          <w:lang w:val="en-US"/>
        </w:rPr>
        <w:t> :</w:t>
      </w:r>
      <w:proofErr w:type="gramEnd"/>
      <w:r w:rsidR="002B3CAC" w:rsidRPr="00000CE8">
        <w:rPr>
          <w:lang w:val="en-US"/>
        </w:rPr>
        <w:t xml:space="preserve"> Carswell, 2009.</w:t>
      </w:r>
    </w:p>
    <w:p w:rsidR="002B3CAC" w:rsidRPr="00000CE8" w:rsidRDefault="002B3CAC" w:rsidP="00042B97">
      <w:pPr>
        <w:pStyle w:val="SCCNormalDoubleSpacing"/>
        <w:spacing w:after="720" w:line="240" w:lineRule="auto"/>
        <w:ind w:left="547" w:hanging="547"/>
      </w:pPr>
      <w:proofErr w:type="spellStart"/>
      <w:r w:rsidRPr="00000CE8">
        <w:rPr>
          <w:lang w:val="en-US"/>
        </w:rPr>
        <w:t>Mullan</w:t>
      </w:r>
      <w:proofErr w:type="spellEnd"/>
      <w:r w:rsidRPr="00000CE8">
        <w:rPr>
          <w:lang w:val="en-US"/>
        </w:rPr>
        <w:t xml:space="preserve">, David.  </w:t>
      </w:r>
      <w:proofErr w:type="gramStart"/>
      <w:r w:rsidR="00DF006D" w:rsidRPr="00000CE8">
        <w:rPr>
          <w:lang w:val="en-US"/>
        </w:rPr>
        <w:t>« </w:t>
      </w:r>
      <w:r w:rsidRPr="00000CE8">
        <w:rPr>
          <w:i/>
          <w:lang w:val="en-US"/>
        </w:rPr>
        <w:t>Dunsmuir v.</w:t>
      </w:r>
      <w:proofErr w:type="gramEnd"/>
      <w:r w:rsidRPr="00000CE8">
        <w:rPr>
          <w:i/>
          <w:lang w:val="en-US"/>
        </w:rPr>
        <w:t xml:space="preserve"> New Brunswick</w:t>
      </w:r>
      <w:r w:rsidRPr="00000CE8">
        <w:rPr>
          <w:lang w:val="en-US"/>
        </w:rPr>
        <w:t xml:space="preserve">, Standard of Review and Procedural Fairness for Public </w:t>
      </w:r>
      <w:proofErr w:type="gramStart"/>
      <w:r w:rsidRPr="00000CE8">
        <w:rPr>
          <w:lang w:val="en-US"/>
        </w:rPr>
        <w:t>Servants</w:t>
      </w:r>
      <w:r w:rsidR="00000CE8">
        <w:rPr>
          <w:lang w:val="en-US"/>
        </w:rPr>
        <w:t> :</w:t>
      </w:r>
      <w:proofErr w:type="gramEnd"/>
      <w:r w:rsidRPr="00000CE8">
        <w:rPr>
          <w:lang w:val="en-US"/>
        </w:rPr>
        <w:t xml:space="preserve"> Let’s Try Again!</w:t>
      </w:r>
      <w:r w:rsidR="00DF006D" w:rsidRPr="00000CE8">
        <w:rPr>
          <w:lang w:val="en-US"/>
        </w:rPr>
        <w:t> </w:t>
      </w:r>
      <w:proofErr w:type="gramStart"/>
      <w:r w:rsidR="00DF006D" w:rsidRPr="00000CE8">
        <w:rPr>
          <w:lang w:val="en-US"/>
        </w:rPr>
        <w:t>»</w:t>
      </w:r>
      <w:r w:rsidRPr="00000CE8">
        <w:rPr>
          <w:lang w:val="en-US"/>
        </w:rPr>
        <w:t xml:space="preserve"> </w:t>
      </w:r>
      <w:r w:rsidRPr="00000CE8">
        <w:t xml:space="preserve">(2008), 21 </w:t>
      </w:r>
      <w:r w:rsidRPr="00000CE8">
        <w:rPr>
          <w:i/>
        </w:rPr>
        <w:t>C.J.A.L.</w:t>
      </w:r>
      <w:r w:rsidR="00000CE8">
        <w:rPr>
          <w:i/>
        </w:rPr>
        <w:t>P. </w:t>
      </w:r>
      <w:r w:rsidRPr="00000CE8">
        <w:t>117.</w:t>
      </w:r>
      <w:proofErr w:type="gramEnd"/>
    </w:p>
    <w:p w:rsidR="00D5435D" w:rsidRPr="00000CE8" w:rsidRDefault="004A79B6" w:rsidP="00042B97">
      <w:pPr>
        <w:pStyle w:val="SCCNormalDoubleSpacing"/>
        <w:spacing w:after="480"/>
      </w:pPr>
      <w:r w:rsidRPr="00000CE8">
        <w:tab/>
      </w:r>
      <w:r w:rsidR="009B57B3" w:rsidRPr="00000CE8">
        <w:t>P</w:t>
      </w:r>
      <w:r w:rsidR="0043088E" w:rsidRPr="00000CE8">
        <w:t>OURVOI contre un arrêt de la</w:t>
      </w:r>
      <w:r w:rsidR="009B57B3" w:rsidRPr="00000CE8">
        <w:t xml:space="preserve"> Cour </w:t>
      </w:r>
      <w:r w:rsidRPr="00000CE8">
        <w:t>d’appel</w:t>
      </w:r>
      <w:r w:rsidR="009B57B3" w:rsidRPr="00000CE8">
        <w:t xml:space="preserve"> de </w:t>
      </w:r>
      <w:proofErr w:type="spellStart"/>
      <w:r w:rsidR="009B57B3" w:rsidRPr="00000CE8">
        <w:t>Terre</w:t>
      </w:r>
      <w:r w:rsidR="00000CE8">
        <w:noBreakHyphen/>
      </w:r>
      <w:r w:rsidR="009B57B3" w:rsidRPr="00000CE8">
        <w:t>Neuve</w:t>
      </w:r>
      <w:r w:rsidR="00000CE8">
        <w:noBreakHyphen/>
      </w:r>
      <w:r w:rsidR="009B57B3" w:rsidRPr="00000CE8">
        <w:t>et</w:t>
      </w:r>
      <w:r w:rsidR="00000CE8">
        <w:noBreakHyphen/>
      </w:r>
      <w:r w:rsidR="009B57B3" w:rsidRPr="00000CE8">
        <w:t>Labrador</w:t>
      </w:r>
      <w:proofErr w:type="spellEnd"/>
      <w:r w:rsidR="00457BBF" w:rsidRPr="00000CE8">
        <w:t xml:space="preserve"> (les juges Cameron, </w:t>
      </w:r>
      <w:proofErr w:type="spellStart"/>
      <w:r w:rsidR="00457BBF" w:rsidRPr="00000CE8">
        <w:t>Welsh</w:t>
      </w:r>
      <w:proofErr w:type="spellEnd"/>
      <w:r w:rsidR="00457BBF" w:rsidRPr="00000CE8">
        <w:t xml:space="preserve"> et </w:t>
      </w:r>
      <w:proofErr w:type="spellStart"/>
      <w:r w:rsidR="00457BBF" w:rsidRPr="00000CE8">
        <w:t>Mercer</w:t>
      </w:r>
      <w:proofErr w:type="spellEnd"/>
      <w:r w:rsidR="00457BBF" w:rsidRPr="00000CE8">
        <w:t>), 2010 NLCA 13, 294 Nfld. &amp; P.E.I.R. 161, 908 A.P.R. 161, 1</w:t>
      </w:r>
      <w:r w:rsidR="00B34DEF" w:rsidRPr="00000CE8">
        <w:t xml:space="preserve">90 L.A.C. (4th) 385, 2010 CLLC </w:t>
      </w:r>
      <w:r w:rsidR="00587E45" w:rsidRPr="00000CE8">
        <w:t>¶</w:t>
      </w:r>
      <w:r w:rsidR="00457BBF" w:rsidRPr="00000CE8">
        <w:t>220</w:t>
      </w:r>
      <w:r w:rsidR="00000CE8">
        <w:noBreakHyphen/>
      </w:r>
      <w:r w:rsidR="00457BBF" w:rsidRPr="00000CE8">
        <w:t xml:space="preserve">017, </w:t>
      </w:r>
      <w:r w:rsidR="00457BBF" w:rsidRPr="00000CE8">
        <w:lastRenderedPageBreak/>
        <w:t xml:space="preserve">[2010] N.J. </w:t>
      </w:r>
      <w:r w:rsidR="00000CE8">
        <w:t>No. </w:t>
      </w:r>
      <w:r w:rsidR="00457BBF" w:rsidRPr="00000CE8">
        <w:t xml:space="preserve">63 (QL), 2010 </w:t>
      </w:r>
      <w:proofErr w:type="spellStart"/>
      <w:r w:rsidR="00457BBF" w:rsidRPr="00000CE8">
        <w:t>CarswellNfld</w:t>
      </w:r>
      <w:proofErr w:type="spellEnd"/>
      <w:r w:rsidR="00457BBF" w:rsidRPr="00000CE8">
        <w:t xml:space="preserve"> 49, qui a infirmé une décision du juge </w:t>
      </w:r>
      <w:proofErr w:type="spellStart"/>
      <w:r w:rsidR="00457BBF" w:rsidRPr="00000CE8">
        <w:t>Orsborn</w:t>
      </w:r>
      <w:proofErr w:type="spellEnd"/>
      <w:r w:rsidR="00457BBF" w:rsidRPr="00000CE8">
        <w:t xml:space="preserve">, 2008 NLTD 200, 283 Nfld. </w:t>
      </w:r>
      <w:r w:rsidR="00457BBF" w:rsidRPr="00000CE8">
        <w:rPr>
          <w:lang w:val="en-US"/>
        </w:rPr>
        <w:t xml:space="preserve">&amp; P.E.I.R. 170, 873 A.P.R. 170, [2008] N.J. </w:t>
      </w:r>
      <w:r w:rsidR="00000CE8">
        <w:rPr>
          <w:lang w:val="en-US"/>
        </w:rPr>
        <w:t>No. </w:t>
      </w:r>
      <w:proofErr w:type="gramStart"/>
      <w:r w:rsidR="00457BBF" w:rsidRPr="00000CE8">
        <w:rPr>
          <w:lang w:val="en-US"/>
        </w:rPr>
        <w:t xml:space="preserve">364 (QL), 2008 </w:t>
      </w:r>
      <w:proofErr w:type="spellStart"/>
      <w:r w:rsidR="00457BBF" w:rsidRPr="00000CE8">
        <w:rPr>
          <w:lang w:val="en-US"/>
        </w:rPr>
        <w:t>CarswellNfld</w:t>
      </w:r>
      <w:proofErr w:type="spellEnd"/>
      <w:r w:rsidR="00457BBF" w:rsidRPr="00000CE8">
        <w:rPr>
          <w:lang w:val="en-US"/>
        </w:rPr>
        <w:t xml:space="preserve"> 332.</w:t>
      </w:r>
      <w:proofErr w:type="gramEnd"/>
      <w:r w:rsidR="00457BBF" w:rsidRPr="00000CE8">
        <w:rPr>
          <w:lang w:val="en-US"/>
        </w:rPr>
        <w:t xml:space="preserve"> </w:t>
      </w:r>
      <w:r w:rsidR="00042B97" w:rsidRPr="00000CE8">
        <w:rPr>
          <w:lang w:val="en-US"/>
        </w:rPr>
        <w:t xml:space="preserve"> </w:t>
      </w:r>
      <w:r w:rsidRPr="00000CE8">
        <w:t xml:space="preserve">Pourvoi </w:t>
      </w:r>
      <w:r w:rsidR="00767A2A" w:rsidRPr="00000CE8">
        <w:t>rejeté</w:t>
      </w:r>
      <w:r w:rsidRPr="00000CE8">
        <w:t>.</w:t>
      </w:r>
    </w:p>
    <w:p w:rsidR="00345F15" w:rsidRPr="00000CE8" w:rsidRDefault="00042B97" w:rsidP="00042B97">
      <w:pPr>
        <w:pStyle w:val="SCCNormalDoubleSpacing"/>
        <w:spacing w:after="480"/>
      </w:pPr>
      <w:r w:rsidRPr="00000CE8">
        <w:rPr>
          <w:i/>
        </w:rPr>
        <w:tab/>
        <w:t>David </w:t>
      </w:r>
      <w:r w:rsidR="004059A6" w:rsidRPr="00000CE8">
        <w:rPr>
          <w:i/>
        </w:rPr>
        <w:t xml:space="preserve">G. </w:t>
      </w:r>
      <w:proofErr w:type="spellStart"/>
      <w:r w:rsidR="004059A6" w:rsidRPr="00000CE8">
        <w:rPr>
          <w:i/>
        </w:rPr>
        <w:t>Conway</w:t>
      </w:r>
      <w:proofErr w:type="spellEnd"/>
      <w:r w:rsidR="004059A6" w:rsidRPr="00000CE8">
        <w:t xml:space="preserve"> et </w:t>
      </w:r>
      <w:r w:rsidRPr="00000CE8">
        <w:rPr>
          <w:i/>
        </w:rPr>
        <w:t>Tracey </w:t>
      </w:r>
      <w:r w:rsidR="004059A6" w:rsidRPr="00000CE8">
        <w:rPr>
          <w:i/>
        </w:rPr>
        <w:t xml:space="preserve">L. </w:t>
      </w:r>
      <w:proofErr w:type="spellStart"/>
      <w:r w:rsidR="004059A6" w:rsidRPr="00000CE8">
        <w:rPr>
          <w:i/>
        </w:rPr>
        <w:t>Trahey</w:t>
      </w:r>
      <w:proofErr w:type="spellEnd"/>
      <w:r w:rsidR="004059A6" w:rsidRPr="00000CE8">
        <w:t>, pour l</w:t>
      </w:r>
      <w:r w:rsidR="004A79B6" w:rsidRPr="00000CE8">
        <w:t>’</w:t>
      </w:r>
      <w:r w:rsidR="004059A6" w:rsidRPr="00000CE8">
        <w:t>appelant</w:t>
      </w:r>
      <w:r w:rsidR="00646D5C">
        <w:t>e</w:t>
      </w:r>
      <w:r w:rsidR="004059A6" w:rsidRPr="00000CE8">
        <w:t>.</w:t>
      </w:r>
    </w:p>
    <w:p w:rsidR="00345F15" w:rsidRDefault="00042B97" w:rsidP="00042B97">
      <w:pPr>
        <w:pStyle w:val="SCCNormalDoubleSpacing"/>
        <w:spacing w:after="480"/>
      </w:pPr>
      <w:r w:rsidRPr="00000CE8">
        <w:rPr>
          <w:i/>
        </w:rPr>
        <w:tab/>
        <w:t>Stephen </w:t>
      </w:r>
      <w:r w:rsidR="004059A6" w:rsidRPr="00000CE8">
        <w:rPr>
          <w:i/>
        </w:rPr>
        <w:t xml:space="preserve">F. </w:t>
      </w:r>
      <w:proofErr w:type="spellStart"/>
      <w:r w:rsidR="004059A6" w:rsidRPr="00000CE8">
        <w:rPr>
          <w:i/>
        </w:rPr>
        <w:t>Penney</w:t>
      </w:r>
      <w:proofErr w:type="spellEnd"/>
      <w:r w:rsidR="00412FC1" w:rsidRPr="00000CE8">
        <w:rPr>
          <w:i/>
        </w:rPr>
        <w:t xml:space="preserve"> </w:t>
      </w:r>
      <w:r w:rsidR="00412FC1" w:rsidRPr="00E1110A">
        <w:t xml:space="preserve">et </w:t>
      </w:r>
      <w:r w:rsidR="00412FC1" w:rsidRPr="00000CE8">
        <w:rPr>
          <w:i/>
        </w:rPr>
        <w:t>Jeffrey</w:t>
      </w:r>
      <w:r w:rsidR="00CB2627" w:rsidRPr="00000CE8">
        <w:rPr>
          <w:i/>
        </w:rPr>
        <w:t xml:space="preserve"> </w:t>
      </w:r>
      <w:proofErr w:type="spellStart"/>
      <w:r w:rsidR="00CB2627" w:rsidRPr="00000CE8">
        <w:rPr>
          <w:i/>
        </w:rPr>
        <w:t>Beedell</w:t>
      </w:r>
      <w:proofErr w:type="spellEnd"/>
      <w:r w:rsidR="004059A6" w:rsidRPr="00000CE8">
        <w:t>, pour l</w:t>
      </w:r>
      <w:r w:rsidR="000639A6" w:rsidRPr="00000CE8">
        <w:t xml:space="preserve">es </w:t>
      </w:r>
      <w:r w:rsidR="004A79B6" w:rsidRPr="00000CE8">
        <w:t>intimé</w:t>
      </w:r>
      <w:r w:rsidR="004059A6" w:rsidRPr="00000CE8">
        <w:t>e</w:t>
      </w:r>
      <w:r w:rsidR="000639A6" w:rsidRPr="00000CE8">
        <w:t>s</w:t>
      </w:r>
      <w:r w:rsidR="004059A6" w:rsidRPr="00000CE8">
        <w:t>.</w:t>
      </w:r>
    </w:p>
    <w:p w:rsidR="00E1110A" w:rsidRPr="00000CE8" w:rsidRDefault="00E1110A" w:rsidP="00042B97">
      <w:pPr>
        <w:pStyle w:val="SCCNormalDoubleSpacing"/>
        <w:spacing w:after="480"/>
      </w:pPr>
      <w:r>
        <w:tab/>
        <w:t>Version française du jugement de la Cour rendu par</w:t>
      </w:r>
    </w:p>
    <w:p w:rsidR="009E719A" w:rsidRPr="00AF61B2" w:rsidRDefault="00E1110A" w:rsidP="009E719A">
      <w:pPr>
        <w:pStyle w:val="ParaNoNdepar-AltN"/>
        <w:rPr>
          <w:lang w:val="fr-CA"/>
        </w:rPr>
      </w:pPr>
      <w:r w:rsidRPr="00E1110A">
        <w:rPr>
          <w:smallCaps/>
          <w:lang w:val="fr-CA"/>
        </w:rPr>
        <w:t>La juge Abella</w:t>
      </w:r>
      <w:r>
        <w:rPr>
          <w:lang w:val="fr-CA"/>
        </w:rPr>
        <w:t xml:space="preserve"> </w:t>
      </w:r>
      <w:r w:rsidRPr="00AF61B2">
        <w:rPr>
          <w:lang w:val="fr-CA"/>
        </w:rPr>
        <w:t>—</w:t>
      </w:r>
      <w:r>
        <w:rPr>
          <w:lang w:val="fr-CA"/>
        </w:rPr>
        <w:t xml:space="preserve"> </w:t>
      </w:r>
      <w:r w:rsidR="009E719A" w:rsidRPr="00AF61B2">
        <w:rPr>
          <w:lang w:val="fr-CA"/>
        </w:rPr>
        <w:t xml:space="preserve">Dans l’arrêt </w:t>
      </w:r>
      <w:proofErr w:type="spellStart"/>
      <w:r w:rsidR="009E719A" w:rsidRPr="00AF61B2">
        <w:rPr>
          <w:i/>
          <w:lang w:val="fr-CA"/>
        </w:rPr>
        <w:t>Dunsmuir</w:t>
      </w:r>
      <w:proofErr w:type="spellEnd"/>
      <w:r w:rsidR="009E719A" w:rsidRPr="00AF61B2">
        <w:rPr>
          <w:i/>
          <w:lang w:val="fr-CA"/>
        </w:rPr>
        <w:t xml:space="preserve"> c. </w:t>
      </w:r>
      <w:proofErr w:type="spellStart"/>
      <w:r w:rsidR="009E719A" w:rsidRPr="00AF61B2">
        <w:rPr>
          <w:i/>
          <w:lang w:val="fr-CA"/>
        </w:rPr>
        <w:t>Nouveau</w:t>
      </w:r>
      <w:r w:rsidR="009E719A" w:rsidRPr="00AF61B2">
        <w:rPr>
          <w:i/>
          <w:lang w:val="fr-CA"/>
        </w:rPr>
        <w:noBreakHyphen/>
        <w:t>Brunswick</w:t>
      </w:r>
      <w:proofErr w:type="spellEnd"/>
      <w:r w:rsidR="009E719A" w:rsidRPr="00AF61B2">
        <w:rPr>
          <w:lang w:val="fr-CA"/>
        </w:rPr>
        <w:t>, 2008 CSC 9, [2008] 1 R.C.S. 190, qui a transformé le droit administratif, notre Cour a expliqué que l’objet des motifs, dans les cas où il faut en exposer, est d’établir « la justification de la décision [ainsi que] la transparence et [. . .] l’intelligibilité du processus décisionnel » (par. 47).  Les questions en litige dans le présent pourvoi sont de savoir si les motifs de l’arbitre en l’espèce répondaient à ces critères et s’ils soulevaient la question de l’équité procédurale.</w:t>
      </w:r>
    </w:p>
    <w:p w:rsidR="009E719A" w:rsidRPr="00AF61B2" w:rsidRDefault="009E719A" w:rsidP="009E719A">
      <w:pPr>
        <w:pStyle w:val="ParaNoNdepar-AltN"/>
        <w:rPr>
          <w:lang w:val="fr-CA"/>
        </w:rPr>
      </w:pPr>
      <w:r w:rsidRPr="00AF61B2">
        <w:rPr>
          <w:lang w:val="fr-CA"/>
        </w:rPr>
        <w:t>Le conflit à l’origine de la décision de l’arbitre avait trait au calcul du nombre de congés annuels payés.  L’arbitre a conclu qu’aux termes de la convention collective il ne fallait pas, dans le calcul du nombre de congés annuels payés auxquels les plaignantes avaient droit lorsqu’elles ont obtenu la permanence, tenir compte des heures durant lesquelles elles avaient travaillé à titre occasionnel.</w:t>
      </w:r>
    </w:p>
    <w:p w:rsidR="009E719A" w:rsidRPr="00AF61B2" w:rsidRDefault="009E719A" w:rsidP="009E719A">
      <w:pPr>
        <w:pStyle w:val="ParaNoNdepar-AltN"/>
        <w:rPr>
          <w:lang w:val="fr-CA"/>
        </w:rPr>
      </w:pPr>
      <w:r w:rsidRPr="00AF61B2">
        <w:rPr>
          <w:lang w:val="fr-CA"/>
        </w:rPr>
        <w:lastRenderedPageBreak/>
        <w:t>Dans la convention collective, « Employé » s’entend de tout employé rémunéré, y compris l’employé occas</w:t>
      </w:r>
      <w:r w:rsidR="00E1110A">
        <w:rPr>
          <w:lang w:val="fr-CA"/>
        </w:rPr>
        <w:t>ionnel.  À l’alinéa</w:t>
      </w:r>
      <w:r w:rsidRPr="00AF61B2">
        <w:rPr>
          <w:lang w:val="fr-CA"/>
        </w:rPr>
        <w:t xml:space="preserve"> 2.01b), l’employé occasionnel s’entend de l’employé qui travaille </w:t>
      </w:r>
      <w:r w:rsidRPr="00AF61B2">
        <w:rPr>
          <w:smallCaps/>
          <w:lang w:val="fr-CA"/>
        </w:rPr>
        <w:t>[traduction]</w:t>
      </w:r>
      <w:r w:rsidRPr="00AF61B2">
        <w:rPr>
          <w:lang w:val="fr-CA"/>
        </w:rPr>
        <w:t xml:space="preserve"> « de façon occasionnelle ou intermittente ».  Il « n’est pas tenu </w:t>
      </w:r>
      <w:r w:rsidR="00E1110A">
        <w:rPr>
          <w:lang w:val="fr-CA"/>
        </w:rPr>
        <w:t>[</w:t>
      </w:r>
      <w:r w:rsidRPr="00AF61B2">
        <w:rPr>
          <w:lang w:val="fr-CA"/>
        </w:rPr>
        <w:t>. . .</w:t>
      </w:r>
      <w:r w:rsidR="00E1110A">
        <w:rPr>
          <w:lang w:val="fr-CA"/>
        </w:rPr>
        <w:t>]</w:t>
      </w:r>
      <w:r w:rsidRPr="00AF61B2">
        <w:rPr>
          <w:lang w:val="fr-CA"/>
        </w:rPr>
        <w:t xml:space="preserve"> de se présenter </w:t>
      </w:r>
      <w:r w:rsidRPr="00AF61B2">
        <w:rPr>
          <w:rFonts w:cs="Times New Roman"/>
          <w:lang w:val="fr-CA"/>
        </w:rPr>
        <w:t>[</w:t>
      </w:r>
      <w:r w:rsidRPr="00AF61B2">
        <w:rPr>
          <w:lang w:val="fr-CA"/>
        </w:rPr>
        <w:t>au travail</w:t>
      </w:r>
      <w:r w:rsidRPr="00AF61B2">
        <w:rPr>
          <w:rFonts w:cs="Times New Roman"/>
          <w:lang w:val="fr-CA"/>
        </w:rPr>
        <w:t>]</w:t>
      </w:r>
      <w:r w:rsidRPr="00AF61B2">
        <w:rPr>
          <w:lang w:val="fr-CA"/>
        </w:rPr>
        <w:t xml:space="preserve"> lorsqu’il est appelé » et l’employeur, pour sa part, « n’est pas tenu » de l’appeler.  </w:t>
      </w:r>
    </w:p>
    <w:p w:rsidR="009E719A" w:rsidRPr="00AF61B2" w:rsidRDefault="009E719A" w:rsidP="009E719A">
      <w:pPr>
        <w:pStyle w:val="ParaNoNdepar-AltN"/>
        <w:rPr>
          <w:lang w:val="fr-CA"/>
        </w:rPr>
      </w:pPr>
      <w:r w:rsidRPr="00AF61B2">
        <w:rPr>
          <w:lang w:val="fr-CA"/>
        </w:rPr>
        <w:t xml:space="preserve">Il convient de souligner qu’aux termes de cette disposition définitoire l’employé occasionnel bénéficie, de façon générale, des avantages de la convention collective, mais il n’a </w:t>
      </w:r>
      <w:r w:rsidRPr="00AF61B2">
        <w:rPr>
          <w:i/>
          <w:lang w:val="fr-CA"/>
        </w:rPr>
        <w:t>expressément pas droit</w:t>
      </w:r>
      <w:r w:rsidRPr="00AF61B2">
        <w:rPr>
          <w:lang w:val="fr-CA"/>
        </w:rPr>
        <w:t xml:space="preserve"> à un certain nombre d’avantages, notamment les congés annuels payés dont l’employé permanent bénéficie selon le calcul prévu à l’art. 17.  Il a plutôt droit, à ce titre, à une somme équivalant à 20 pour</w:t>
      </w:r>
      <w:r w:rsidR="00B30A7E">
        <w:rPr>
          <w:lang w:val="fr-CA"/>
        </w:rPr>
        <w:t xml:space="preserve"> 100 </w:t>
      </w:r>
      <w:r w:rsidRPr="00AF61B2">
        <w:rPr>
          <w:lang w:val="fr-CA"/>
        </w:rPr>
        <w:t xml:space="preserve">de son salaire de base.  </w:t>
      </w:r>
    </w:p>
    <w:p w:rsidR="009E719A" w:rsidRPr="00AF61B2" w:rsidRDefault="009E719A" w:rsidP="009E719A">
      <w:pPr>
        <w:pStyle w:val="ParaNoNdepar-AltN"/>
        <w:rPr>
          <w:lang w:val="fr-CA"/>
        </w:rPr>
      </w:pPr>
      <w:r w:rsidRPr="00AF61B2">
        <w:rPr>
          <w:lang w:val="fr-CA"/>
        </w:rPr>
        <w:t xml:space="preserve">La question que l’arbitre devait trancher était de savoir s’il pouvait être tenu compte, dans le calcul du nombre de congés annuels payés auxquels l’employé occasionnel ayant acquis la permanence avait droit, des heures durant lesquelles il avait travaillé à ce titre avant d’obtenir la permanence.  Dans sa décision, qui comporte 12 pages, l’arbitre énonce les faits, les arguments des parties, les dispositions pertinentes de la convention collective ainsi qu’un certain nombre de principes d’interprétation applicables, et, en dernière analyse, il dit convenir avec l’employeur qu’il ne peut être tenu compte, dans le calcul de ses états de service ouvrant droit à des congés annuels payés, des heures durant lesquelles l’employé </w:t>
      </w:r>
      <w:r w:rsidRPr="00AF61B2">
        <w:rPr>
          <w:lang w:val="fr-CA"/>
        </w:rPr>
        <w:lastRenderedPageBreak/>
        <w:t>ayant acquis le statut d’employé permanent, temporaire, ou à temps partiel, avait travaillé à titre occasionnel avant d’obtenir ce statut.</w:t>
      </w:r>
    </w:p>
    <w:p w:rsidR="009E719A" w:rsidRPr="00AF61B2" w:rsidRDefault="009E719A" w:rsidP="009E719A">
      <w:pPr>
        <w:pStyle w:val="ParaNoNdepar-AltN"/>
        <w:rPr>
          <w:lang w:val="fr-FR"/>
        </w:rPr>
      </w:pPr>
      <w:r w:rsidRPr="00AF61B2">
        <w:rPr>
          <w:lang w:val="fr-CA"/>
        </w:rPr>
        <w:t xml:space="preserve">Selon l’arbitre, l’employé occasionnel au sens de l’al. 2.01b) travaille de façon occasionnelle ou intermittente et n’est pas tenu de se présenter au travail même s’il est appelé.  Cet alinéa énumère aussi certains avantages auxquels il </w:t>
      </w:r>
      <w:r w:rsidRPr="00AF61B2">
        <w:rPr>
          <w:i/>
          <w:lang w:val="fr-CA"/>
        </w:rPr>
        <w:t>n</w:t>
      </w:r>
      <w:r w:rsidRPr="00293834">
        <w:rPr>
          <w:lang w:val="fr-CA"/>
        </w:rPr>
        <w:t>’</w:t>
      </w:r>
      <w:r w:rsidRPr="00AF61B2">
        <w:rPr>
          <w:lang w:val="fr-CA"/>
        </w:rPr>
        <w:t xml:space="preserve">a </w:t>
      </w:r>
      <w:r w:rsidRPr="00AF61B2">
        <w:rPr>
          <w:i/>
          <w:lang w:val="fr-CA"/>
        </w:rPr>
        <w:t>pas</w:t>
      </w:r>
      <w:r w:rsidRPr="00AF61B2">
        <w:rPr>
          <w:lang w:val="fr-CA"/>
        </w:rPr>
        <w:t xml:space="preserve"> droit.  Au lieu d’obtenir ces avantages, il touche une somme équivalant à 20 pour</w:t>
      </w:r>
      <w:r w:rsidR="00293834">
        <w:rPr>
          <w:lang w:val="fr-CA"/>
        </w:rPr>
        <w:t xml:space="preserve"> 100 </w:t>
      </w:r>
      <w:r w:rsidRPr="00AF61B2">
        <w:rPr>
          <w:lang w:val="fr-CA"/>
        </w:rPr>
        <w:t xml:space="preserve">de son salaire de base.  </w:t>
      </w:r>
      <w:r w:rsidRPr="00AF61B2">
        <w:rPr>
          <w:lang w:val="fr-FR"/>
        </w:rPr>
        <w:t xml:space="preserve">L’un des avantages auxquels il n’a expressément pas droit et à l’égard duquel il touche une telle somme est celui que prévoit l’art. 17, qui </w:t>
      </w:r>
      <w:proofErr w:type="gramStart"/>
      <w:r w:rsidRPr="00AF61B2">
        <w:rPr>
          <w:lang w:val="fr-FR"/>
        </w:rPr>
        <w:t>fixe</w:t>
      </w:r>
      <w:proofErr w:type="gramEnd"/>
      <w:r w:rsidRPr="00AF61B2">
        <w:rPr>
          <w:lang w:val="fr-FR"/>
        </w:rPr>
        <w:t xml:space="preserve"> les modalités servant au calcul du nombre de congés annuels payés dont les employés bénéficient.</w:t>
      </w:r>
    </w:p>
    <w:p w:rsidR="009E719A" w:rsidRPr="00AF61B2" w:rsidRDefault="009E719A" w:rsidP="009E719A">
      <w:pPr>
        <w:pStyle w:val="ParaNoNdepar-AltN"/>
        <w:rPr>
          <w:lang w:val="fr-FR"/>
        </w:rPr>
      </w:pPr>
      <w:r w:rsidRPr="00AF61B2">
        <w:rPr>
          <w:lang w:val="fr-FR"/>
        </w:rPr>
        <w:t>Il me semble que ces éléments donnent un fondement raisonnable à la conclusion de l’arbitre quand on considère les dispositions de la convention collective.</w:t>
      </w:r>
    </w:p>
    <w:p w:rsidR="009E719A" w:rsidRPr="00AF61B2" w:rsidRDefault="009E719A" w:rsidP="009E719A">
      <w:pPr>
        <w:pStyle w:val="ParaNoNdepar-AltN"/>
        <w:rPr>
          <w:lang w:val="fr-FR"/>
        </w:rPr>
      </w:pPr>
      <w:r w:rsidRPr="00AF61B2">
        <w:rPr>
          <w:lang w:val="fr-FR"/>
        </w:rPr>
        <w:t>En contrôle judiciaire, les parties ont reconnu que la norme de contrôle qu’il convenait d’appliquer était celle de la décision raisonnable.  Selon le juge siégeant en cabinet, un contrôle de cette nature vise non seulement à établir si le résultat fait partie des issues possibles,</w:t>
      </w:r>
      <w:r w:rsidRPr="00AF61B2">
        <w:rPr>
          <w:b/>
          <w:lang w:val="fr-FR"/>
        </w:rPr>
        <w:t xml:space="preserve"> </w:t>
      </w:r>
      <w:r w:rsidRPr="00AF61B2">
        <w:rPr>
          <w:lang w:val="fr-FR"/>
        </w:rPr>
        <w:t xml:space="preserve">comme l’exige l’arrêt </w:t>
      </w:r>
      <w:proofErr w:type="spellStart"/>
      <w:r w:rsidRPr="00AF61B2">
        <w:rPr>
          <w:i/>
          <w:lang w:val="fr-FR"/>
        </w:rPr>
        <w:t>Dunsmuir</w:t>
      </w:r>
      <w:proofErr w:type="spellEnd"/>
      <w:r w:rsidRPr="00AF61B2">
        <w:rPr>
          <w:lang w:val="fr-FR"/>
        </w:rPr>
        <w:t>, mais il exige aussi que les motifs fournissent une analyse qui permet raisonnablement d’étayer la conclusion.  Le juge siégeant en cabinet a conclu que les motifs de l’arbitre devaient être [</w:t>
      </w:r>
      <w:r w:rsidRPr="00AF61B2">
        <w:rPr>
          <w:smallCaps/>
          <w:lang w:val="fr-FR"/>
        </w:rPr>
        <w:t>traduction]</w:t>
      </w:r>
      <w:r w:rsidRPr="00AF61B2">
        <w:rPr>
          <w:lang w:val="fr-FR"/>
        </w:rPr>
        <w:t xml:space="preserve"> « plus solides » et que sa conclusion « ne reposait sur aucun </w:t>
      </w:r>
      <w:r w:rsidRPr="00AF61B2">
        <w:rPr>
          <w:lang w:val="fr-FR"/>
        </w:rPr>
        <w:lastRenderedPageBreak/>
        <w:t xml:space="preserve">raisonnement pouvant être qualifié de raisonnable ».  Bref, les motifs étaient insuffisants.  Par conséquent, il a estimé que le résultat était déraisonnable et l’a annulé. </w:t>
      </w:r>
    </w:p>
    <w:p w:rsidR="009E719A" w:rsidRPr="00AF61B2" w:rsidRDefault="009E719A" w:rsidP="00441C89">
      <w:pPr>
        <w:pStyle w:val="ParaNoNdepar-AltN"/>
        <w:tabs>
          <w:tab w:val="left" w:pos="1620"/>
        </w:tabs>
        <w:rPr>
          <w:lang w:val="fr-FR"/>
        </w:rPr>
      </w:pPr>
      <w:r w:rsidRPr="00AF61B2">
        <w:rPr>
          <w:lang w:val="fr-FR"/>
        </w:rPr>
        <w:t>Les juges majoritaires de la Cour d’appel ont infirmé la décision du juge siégeant en cabinet, concluant que même s’il aurait été préférable de donner [</w:t>
      </w:r>
      <w:r w:rsidRPr="00AF61B2">
        <w:rPr>
          <w:smallCaps/>
          <w:lang w:val="fr-FR"/>
        </w:rPr>
        <w:t>traduction] « </w:t>
      </w:r>
      <w:r w:rsidRPr="00AF61B2">
        <w:rPr>
          <w:lang w:val="fr-FR"/>
        </w:rPr>
        <w:t xml:space="preserve">une explication plus détaillée », les motifs étaient « suffisants pour répondre aux critères établis dans </w:t>
      </w:r>
      <w:proofErr w:type="spellStart"/>
      <w:r w:rsidRPr="00AF61B2">
        <w:rPr>
          <w:i/>
          <w:lang w:val="fr-FR"/>
        </w:rPr>
        <w:t>Dunsmuir</w:t>
      </w:r>
      <w:proofErr w:type="spellEnd"/>
      <w:r w:rsidRPr="00AF61B2">
        <w:rPr>
          <w:i/>
          <w:lang w:val="fr-FR"/>
        </w:rPr>
        <w:t> </w:t>
      </w:r>
      <w:r w:rsidRPr="00AF61B2">
        <w:rPr>
          <w:lang w:val="fr-FR"/>
        </w:rPr>
        <w:t>», soit ceux de « </w:t>
      </w:r>
      <w:r w:rsidR="00E1110A">
        <w:rPr>
          <w:lang w:val="fr-FR"/>
        </w:rPr>
        <w:t xml:space="preserve">la </w:t>
      </w:r>
      <w:r w:rsidRPr="00AF61B2">
        <w:rPr>
          <w:lang w:val="fr-FR"/>
        </w:rPr>
        <w:t xml:space="preserve">justification de la décision </w:t>
      </w:r>
      <w:r w:rsidR="00E1110A">
        <w:rPr>
          <w:lang w:val="fr-FR"/>
        </w:rPr>
        <w:t>[</w:t>
      </w:r>
      <w:r w:rsidRPr="00AF61B2">
        <w:rPr>
          <w:lang w:val="fr-FR"/>
        </w:rPr>
        <w:t>ainsi que de</w:t>
      </w:r>
      <w:r w:rsidR="00E1110A">
        <w:rPr>
          <w:lang w:val="fr-FR"/>
        </w:rPr>
        <w:t>]</w:t>
      </w:r>
      <w:r w:rsidRPr="00AF61B2">
        <w:rPr>
          <w:lang w:val="fr-FR"/>
        </w:rPr>
        <w:t xml:space="preserve"> la transparence et </w:t>
      </w:r>
      <w:r w:rsidR="00E1110A">
        <w:rPr>
          <w:lang w:val="fr-FR"/>
        </w:rPr>
        <w:t>[</w:t>
      </w:r>
      <w:r w:rsidRPr="00AF61B2">
        <w:rPr>
          <w:lang w:val="fr-FR"/>
        </w:rPr>
        <w:t>de</w:t>
      </w:r>
      <w:r w:rsidR="00E1110A">
        <w:rPr>
          <w:lang w:val="fr-FR"/>
        </w:rPr>
        <w:t>]</w:t>
      </w:r>
      <w:r w:rsidRPr="00AF61B2">
        <w:rPr>
          <w:lang w:val="fr-FR"/>
        </w:rPr>
        <w:t xml:space="preserve"> l’intelligibilité du processus décisionnel ».  Pour reprendre leurs propos :</w:t>
      </w:r>
    </w:p>
    <w:p w:rsidR="009E719A" w:rsidRPr="00AF61B2" w:rsidRDefault="003546DF" w:rsidP="00441C89">
      <w:pPr>
        <w:pStyle w:val="Citation-AltC"/>
        <w:tabs>
          <w:tab w:val="left" w:pos="1620"/>
        </w:tabs>
        <w:ind w:hanging="1166"/>
        <w:rPr>
          <w:lang w:val="fr-FR"/>
        </w:rPr>
      </w:pPr>
      <w:r>
        <w:rPr>
          <w:lang w:val="fr-FR"/>
        </w:rPr>
        <w:tab/>
      </w:r>
      <w:r w:rsidR="009E719A" w:rsidRPr="00AF61B2">
        <w:rPr>
          <w:lang w:val="fr-FR"/>
        </w:rPr>
        <w:t>[</w:t>
      </w:r>
      <w:r w:rsidR="00441C89">
        <w:rPr>
          <w:smallCaps/>
          <w:lang w:val="fr-FR"/>
        </w:rPr>
        <w:t>traduction</w:t>
      </w:r>
      <w:proofErr w:type="gramStart"/>
      <w:r w:rsidR="00441C89">
        <w:rPr>
          <w:smallCaps/>
          <w:lang w:val="fr-FR"/>
        </w:rPr>
        <w:t>]</w:t>
      </w:r>
      <w:r w:rsidR="009E719A" w:rsidRPr="00AF61B2">
        <w:rPr>
          <w:smallCaps/>
          <w:lang w:val="fr-FR"/>
        </w:rPr>
        <w:t xml:space="preserve"> .</w:t>
      </w:r>
      <w:proofErr w:type="gramEnd"/>
      <w:r w:rsidR="009E719A" w:rsidRPr="00AF61B2">
        <w:rPr>
          <w:smallCaps/>
          <w:lang w:val="fr-FR"/>
        </w:rPr>
        <w:t xml:space="preserve"> . . </w:t>
      </w:r>
      <w:r w:rsidR="009E719A" w:rsidRPr="00AF61B2">
        <w:rPr>
          <w:lang w:val="fr-FR"/>
        </w:rPr>
        <w:t xml:space="preserve">les motifs doivent être suffisants pour permettre aux parties de comprendre le fondement de la décision du tribunal et pour procéder au contrôle judiciaire de </w:t>
      </w:r>
      <w:proofErr w:type="spellStart"/>
      <w:r w:rsidR="009E719A" w:rsidRPr="00AF61B2">
        <w:rPr>
          <w:lang w:val="fr-FR"/>
        </w:rPr>
        <w:t>celle</w:t>
      </w:r>
      <w:r w:rsidR="009E719A" w:rsidRPr="00AF61B2">
        <w:rPr>
          <w:lang w:val="fr-FR"/>
        </w:rPr>
        <w:noBreakHyphen/>
        <w:t>ci</w:t>
      </w:r>
      <w:proofErr w:type="spellEnd"/>
      <w:r w:rsidR="009E719A" w:rsidRPr="00AF61B2">
        <w:rPr>
          <w:lang w:val="fr-FR"/>
        </w:rPr>
        <w:t>.  Ils doivent être examinés dans leur ensemble et leur contexte, et doivent être à même de convaincre la cour de révision que le tribunal s’est penché sur les questions de fond en litige nécessaires pour trancher l’affaire.</w:t>
      </w:r>
    </w:p>
    <w:p w:rsidR="009E719A" w:rsidRPr="00AF61B2" w:rsidRDefault="009E719A" w:rsidP="009E719A">
      <w:pPr>
        <w:pStyle w:val="ParaNoNdepar-AltN"/>
        <w:rPr>
          <w:lang w:val="fr-CA"/>
        </w:rPr>
      </w:pPr>
      <w:r w:rsidRPr="00AF61B2">
        <w:rPr>
          <w:lang w:val="fr-FR"/>
        </w:rPr>
        <w:t>La juge dissidente s’est dite d’accord avec le juge siégeant en cabinet.</w:t>
      </w:r>
      <w:r>
        <w:rPr>
          <w:lang w:val="fr-FR"/>
        </w:rPr>
        <w:t xml:space="preserve"> </w:t>
      </w:r>
      <w:r w:rsidRPr="00AF61B2">
        <w:rPr>
          <w:lang w:val="fr-FR"/>
        </w:rPr>
        <w:t xml:space="preserve"> Selon elle, les motifs de l’arbitre ne faisaient ressortir aucun raisonnement susceptible de mener à la conclusion à laquelle il était parvenu.  </w:t>
      </w:r>
      <w:r w:rsidRPr="00AF61B2">
        <w:rPr>
          <w:lang w:val="fr-CA"/>
        </w:rPr>
        <w:t xml:space="preserve">Il n’y avait donc « pas de motifs » à contrôler. </w:t>
      </w:r>
    </w:p>
    <w:p w:rsidR="009E719A" w:rsidRPr="00AF61B2" w:rsidRDefault="009E719A" w:rsidP="009E719A">
      <w:pPr>
        <w:pStyle w:val="TitleTitre-AltT"/>
        <w:keepNext/>
        <w:outlineLvl w:val="0"/>
        <w:rPr>
          <w:u w:val="single"/>
          <w:lang w:val="en-US"/>
        </w:rPr>
      </w:pPr>
      <w:proofErr w:type="spellStart"/>
      <w:r w:rsidRPr="00AF61B2">
        <w:rPr>
          <w:u w:val="single"/>
          <w:lang w:val="en-US"/>
        </w:rPr>
        <w:lastRenderedPageBreak/>
        <w:t>Analyse</w:t>
      </w:r>
      <w:proofErr w:type="spellEnd"/>
    </w:p>
    <w:p w:rsidR="009E719A" w:rsidRPr="00AF61B2" w:rsidRDefault="009E719A" w:rsidP="00E1110A">
      <w:pPr>
        <w:pStyle w:val="ParaNoNdepar-AltN"/>
        <w:tabs>
          <w:tab w:val="left" w:pos="1620"/>
        </w:tabs>
        <w:rPr>
          <w:lang w:val="fr-FR"/>
        </w:rPr>
      </w:pPr>
      <w:r w:rsidRPr="00AF61B2">
        <w:rPr>
          <w:lang w:val="fr-FR"/>
        </w:rPr>
        <w:t xml:space="preserve">Il convient de reprendre les passages clés de l’arrêt </w:t>
      </w:r>
      <w:proofErr w:type="spellStart"/>
      <w:r w:rsidRPr="00AF61B2">
        <w:rPr>
          <w:i/>
          <w:lang w:val="fr-FR"/>
        </w:rPr>
        <w:t>Dunsmuir</w:t>
      </w:r>
      <w:proofErr w:type="spellEnd"/>
      <w:r w:rsidRPr="00AF61B2">
        <w:rPr>
          <w:lang w:val="fr-FR"/>
        </w:rPr>
        <w:t xml:space="preserve"> qui établissent le cadre de cette analyse :  </w:t>
      </w:r>
    </w:p>
    <w:p w:rsidR="009E719A" w:rsidRPr="00AF61B2" w:rsidRDefault="009E719A" w:rsidP="00E1110A">
      <w:pPr>
        <w:pStyle w:val="Citation-AltC"/>
        <w:tabs>
          <w:tab w:val="left" w:pos="1710"/>
        </w:tabs>
        <w:spacing w:after="240"/>
        <w:ind w:hanging="1166"/>
        <w:contextualSpacing w:val="0"/>
        <w:rPr>
          <w:u w:val="single"/>
          <w:lang w:val="fr-FR"/>
        </w:rPr>
      </w:pPr>
      <w:r w:rsidRPr="00AF61B2">
        <w:rPr>
          <w:lang w:val="fr-FR"/>
        </w:rPr>
        <w:tab/>
      </w:r>
      <w:r w:rsidRPr="00AF61B2">
        <w:rPr>
          <w:lang w:val="fr-FR"/>
        </w:rPr>
        <w:tab/>
        <w:t xml:space="preserve">La norme déférente du caractère raisonnable procède du principe à l’origine des deux normes antérieures de </w:t>
      </w:r>
      <w:proofErr w:type="spellStart"/>
      <w:r w:rsidRPr="00AF61B2">
        <w:rPr>
          <w:lang w:val="fr-FR"/>
        </w:rPr>
        <w:t>raisonnabilité</w:t>
      </w:r>
      <w:proofErr w:type="spellEnd"/>
      <w:r w:rsidRPr="00AF61B2">
        <w:rPr>
          <w:lang w:val="fr-FR"/>
        </w:rPr>
        <w:t xml:space="preserve"> : certaines questions soumises aux tribunaux administratifs n’appellent pas une seule solution précise, mais peuvent plutôt donner lieu à un certain nombre de conclusions raisonnables.  </w:t>
      </w:r>
      <w:r w:rsidRPr="00AF61B2">
        <w:rPr>
          <w:u w:val="single"/>
          <w:lang w:val="fr-FR"/>
        </w:rPr>
        <w:t xml:space="preserve">Il est loisible au tribunal administratif d’opter pour l’une ou l’autre des différentes solutions rationnelles acceptables.  La cour de révision se demande dès lors si la décision et sa justification possèdent les attributs de la </w:t>
      </w:r>
      <w:proofErr w:type="spellStart"/>
      <w:r w:rsidRPr="00AF61B2">
        <w:rPr>
          <w:u w:val="single"/>
          <w:lang w:val="fr-FR"/>
        </w:rPr>
        <w:t>raisonnabilité</w:t>
      </w:r>
      <w:proofErr w:type="spellEnd"/>
      <w:r w:rsidRPr="00AF61B2">
        <w:rPr>
          <w:u w:val="single"/>
          <w:lang w:val="fr-FR"/>
        </w:rPr>
        <w:t>.  Le caractère raisonnable tient principalement à la justification de la décision, à la transparence et à l’intelligibilité du processus décisionnel</w:t>
      </w:r>
      <w:r w:rsidRPr="00AF61B2">
        <w:rPr>
          <w:lang w:val="fr-FR"/>
        </w:rPr>
        <w:t xml:space="preserve">, ainsi qu’à l’appartenance de la décision aux issues possibles acceptables pouvant se justifier au regard des faits et du droit.  </w:t>
      </w:r>
    </w:p>
    <w:p w:rsidR="009E719A" w:rsidRPr="00AF61B2" w:rsidRDefault="009E719A" w:rsidP="00E1110A">
      <w:pPr>
        <w:pStyle w:val="Citation-AltC"/>
        <w:tabs>
          <w:tab w:val="left" w:pos="1620"/>
        </w:tabs>
        <w:ind w:left="1170" w:hanging="1170"/>
        <w:rPr>
          <w:lang w:val="fr-CA"/>
        </w:rPr>
      </w:pPr>
      <w:r w:rsidRPr="00AF61B2">
        <w:rPr>
          <w:lang w:val="fr-FR"/>
        </w:rPr>
        <w:tab/>
      </w:r>
      <w:r w:rsidRPr="00AF61B2">
        <w:rPr>
          <w:lang w:val="fr-FR"/>
        </w:rPr>
        <w:tab/>
        <w:t>. </w:t>
      </w:r>
      <w:r w:rsidRPr="00AF61B2">
        <w:rPr>
          <w:lang w:val="fr-CA"/>
        </w:rPr>
        <w:t xml:space="preserve">. . </w:t>
      </w:r>
      <w:r w:rsidRPr="00AF61B2">
        <w:rPr>
          <w:lang w:val="fr-FR"/>
        </w:rPr>
        <w:t xml:space="preserve">Que </w:t>
      </w:r>
      <w:proofErr w:type="spellStart"/>
      <w:r w:rsidRPr="00AF61B2">
        <w:rPr>
          <w:lang w:val="fr-FR"/>
        </w:rPr>
        <w:t>faut</w:t>
      </w:r>
      <w:r w:rsidRPr="00AF61B2">
        <w:rPr>
          <w:lang w:val="fr-FR"/>
        </w:rPr>
        <w:noBreakHyphen/>
        <w:t>il</w:t>
      </w:r>
      <w:proofErr w:type="spellEnd"/>
      <w:r w:rsidRPr="00AF61B2">
        <w:rPr>
          <w:lang w:val="fr-FR"/>
        </w:rPr>
        <w:t xml:space="preserve"> entendre par déférence dans ce contexte?  C’est à la fois une attitude de la cour et une exigence du droit régissant le contrôle judiciaire.  Il ne s’ensuit pas que les cours de justice doivent s’incliner devant les conclusions des décideurs ni qu’elles doivent respecter aveuglément leurs interprétations.  Elles ne peuvent pas non plus invoquer la notion de </w:t>
      </w:r>
      <w:proofErr w:type="spellStart"/>
      <w:r w:rsidRPr="00AF61B2">
        <w:rPr>
          <w:lang w:val="fr-FR"/>
        </w:rPr>
        <w:t>raisonnabilité</w:t>
      </w:r>
      <w:proofErr w:type="spellEnd"/>
      <w:r w:rsidRPr="00AF61B2">
        <w:rPr>
          <w:lang w:val="fr-FR"/>
        </w:rPr>
        <w:t xml:space="preserve"> pour imposer dans les faits leurs propres vues.  La déférence suppose plutôt le respect du processus décisionnel au regard des faits et du droit.  Elle « repose en partie sur le respect des décisions du gouvernement de constituer des organismes administratifs </w:t>
      </w:r>
      <w:r w:rsidR="00E1110A">
        <w:rPr>
          <w:lang w:val="fr-FR"/>
        </w:rPr>
        <w:t>assortis de pouvoirs délégués »</w:t>
      </w:r>
      <w:r w:rsidRPr="00AF61B2">
        <w:rPr>
          <w:lang w:val="fr-FR"/>
        </w:rPr>
        <w:t xml:space="preserve"> </w:t>
      </w:r>
      <w:r w:rsidR="00E1110A">
        <w:rPr>
          <w:lang w:val="fr-FR"/>
        </w:rPr>
        <w:t>[</w:t>
      </w:r>
      <w:r w:rsidRPr="00AF61B2">
        <w:rPr>
          <w:lang w:val="fr-FR"/>
        </w:rPr>
        <w:t>. . .</w:t>
      </w:r>
      <w:r w:rsidR="00E1110A">
        <w:rPr>
          <w:lang w:val="fr-FR"/>
        </w:rPr>
        <w:t>]</w:t>
      </w:r>
      <w:r w:rsidRPr="00AF61B2">
        <w:rPr>
          <w:lang w:val="fr-FR"/>
        </w:rPr>
        <w:t xml:space="preserve">  </w:t>
      </w:r>
      <w:r w:rsidRPr="00AF61B2">
        <w:rPr>
          <w:u w:val="single"/>
          <w:lang w:val="fr-FR"/>
        </w:rPr>
        <w:t xml:space="preserve">Nous convenons avec David </w:t>
      </w:r>
      <w:proofErr w:type="spellStart"/>
      <w:r w:rsidRPr="00AF61B2">
        <w:rPr>
          <w:u w:val="single"/>
          <w:lang w:val="fr-FR"/>
        </w:rPr>
        <w:t>Dyzenhaus</w:t>
      </w:r>
      <w:proofErr w:type="spellEnd"/>
      <w:r w:rsidRPr="00AF61B2">
        <w:rPr>
          <w:u w:val="single"/>
          <w:lang w:val="fr-FR"/>
        </w:rPr>
        <w:t xml:space="preserve"> que la notion de [</w:t>
      </w:r>
      <w:r w:rsidRPr="00AF61B2">
        <w:rPr>
          <w:smallCaps/>
          <w:u w:val="single"/>
          <w:lang w:val="fr-FR"/>
        </w:rPr>
        <w:t>traduction</w:t>
      </w:r>
      <w:r w:rsidRPr="00AF61B2">
        <w:rPr>
          <w:u w:val="single"/>
          <w:lang w:val="fr-FR"/>
        </w:rPr>
        <w:t>] « retenue au sens de respect » n’exige pas de la cour de révision [</w:t>
      </w:r>
      <w:r w:rsidRPr="00AF61B2">
        <w:rPr>
          <w:smallCaps/>
          <w:u w:val="single"/>
          <w:lang w:val="fr-FR"/>
        </w:rPr>
        <w:t>traduction</w:t>
      </w:r>
      <w:r w:rsidRPr="00AF61B2">
        <w:rPr>
          <w:u w:val="single"/>
          <w:lang w:val="fr-FR"/>
        </w:rPr>
        <w:t>] « la soumission, mais une attention respectueuse aux motifs donnés ou qui pourraient être donnés à l’appui d’une décision »</w:t>
      </w:r>
      <w:r w:rsidRPr="00AF61B2">
        <w:rPr>
          <w:lang w:val="fr-FR"/>
        </w:rPr>
        <w:t xml:space="preserve"> . . . </w:t>
      </w:r>
      <w:r w:rsidRPr="00AF61B2">
        <w:rPr>
          <w:lang w:val="fr-CA"/>
        </w:rPr>
        <w:t xml:space="preserve">[Je souligne; </w:t>
      </w:r>
      <w:r w:rsidR="00E1110A">
        <w:rPr>
          <w:lang w:val="fr-CA"/>
        </w:rPr>
        <w:t>référence</w:t>
      </w:r>
      <w:r w:rsidRPr="00AF61B2">
        <w:rPr>
          <w:lang w:val="fr-CA"/>
        </w:rPr>
        <w:t>s omises; par. 47</w:t>
      </w:r>
      <w:r w:rsidRPr="00AF61B2">
        <w:rPr>
          <w:lang w:val="fr-CA"/>
        </w:rPr>
        <w:noBreakHyphen/>
        <w:t>48.]</w:t>
      </w:r>
    </w:p>
    <w:p w:rsidR="009E719A" w:rsidRPr="00AF61B2" w:rsidRDefault="009E719A" w:rsidP="009E719A">
      <w:pPr>
        <w:pStyle w:val="ParaNoNdepar-AltN"/>
        <w:rPr>
          <w:lang w:val="fr-FR"/>
        </w:rPr>
      </w:pPr>
      <w:r w:rsidRPr="00AF61B2">
        <w:rPr>
          <w:lang w:val="fr-CA"/>
        </w:rPr>
        <w:t xml:space="preserve">Il importe de souligner que la Cour a souscrit à l’observation du professeur </w:t>
      </w:r>
      <w:proofErr w:type="spellStart"/>
      <w:r w:rsidRPr="00AF61B2">
        <w:rPr>
          <w:lang w:val="fr-CA"/>
        </w:rPr>
        <w:t>Dyzenhaus</w:t>
      </w:r>
      <w:proofErr w:type="spellEnd"/>
      <w:r w:rsidRPr="00AF61B2">
        <w:rPr>
          <w:lang w:val="fr-CA"/>
        </w:rPr>
        <w:t xml:space="preserve"> selon laquelle la notion de retenue envers les décisions des tribunaux administratifs commande </w:t>
      </w:r>
      <w:r w:rsidRPr="00AF61B2">
        <w:rPr>
          <w:lang w:val="fr-FR"/>
        </w:rPr>
        <w:t>[</w:t>
      </w:r>
      <w:r w:rsidRPr="00AF61B2">
        <w:rPr>
          <w:smallCaps/>
          <w:lang w:val="fr-FR"/>
        </w:rPr>
        <w:t xml:space="preserve">traduction] </w:t>
      </w:r>
      <w:r w:rsidRPr="00AF61B2">
        <w:rPr>
          <w:lang w:val="fr-CA"/>
        </w:rPr>
        <w:t xml:space="preserve">« une attention respectueuse aux </w:t>
      </w:r>
      <w:r w:rsidRPr="00AF61B2">
        <w:rPr>
          <w:lang w:val="fr-CA"/>
        </w:rPr>
        <w:lastRenderedPageBreak/>
        <w:t xml:space="preserve">motifs donnés ou qui pourraient être donnés à l’appui d’une décision ».  </w:t>
      </w:r>
      <w:r w:rsidRPr="00AF61B2">
        <w:rPr>
          <w:lang w:val="fr-FR"/>
        </w:rPr>
        <w:t xml:space="preserve">Dans son article cité par la Cour, le professeur </w:t>
      </w:r>
      <w:proofErr w:type="spellStart"/>
      <w:r w:rsidRPr="00AF61B2">
        <w:rPr>
          <w:lang w:val="fr-FR"/>
        </w:rPr>
        <w:t>Dyzenhaus</w:t>
      </w:r>
      <w:proofErr w:type="spellEnd"/>
      <w:r w:rsidRPr="00AF61B2">
        <w:rPr>
          <w:lang w:val="fr-FR"/>
        </w:rPr>
        <w:t xml:space="preserve"> explique en ces termes comment le caractère raisonnable se rapporte aux motifs :</w:t>
      </w:r>
    </w:p>
    <w:p w:rsidR="009E719A" w:rsidRPr="00AF61B2" w:rsidRDefault="009E719A" w:rsidP="00E1110A">
      <w:pPr>
        <w:pStyle w:val="Citation-AltC"/>
        <w:tabs>
          <w:tab w:val="left" w:pos="1620"/>
        </w:tabs>
        <w:spacing w:after="240"/>
        <w:ind w:hanging="1166"/>
        <w:contextualSpacing w:val="0"/>
        <w:rPr>
          <w:iCs/>
          <w:szCs w:val="24"/>
          <w:lang w:val="en-US"/>
        </w:rPr>
      </w:pPr>
      <w:r w:rsidRPr="00AF61B2">
        <w:rPr>
          <w:lang w:val="fr-FR"/>
        </w:rPr>
        <w:tab/>
      </w:r>
      <w:r w:rsidRPr="00AF61B2">
        <w:rPr>
          <w:lang w:val="fr-FR"/>
        </w:rPr>
        <w:tab/>
        <w:t>[</w:t>
      </w:r>
      <w:r w:rsidRPr="00AF61B2">
        <w:rPr>
          <w:smallCaps/>
          <w:lang w:val="fr-FR"/>
        </w:rPr>
        <w:t xml:space="preserve">traduction]  </w:t>
      </w:r>
      <w:r w:rsidRPr="00AF61B2">
        <w:rPr>
          <w:lang w:val="fr-FR"/>
        </w:rPr>
        <w:t xml:space="preserve">Le « caractère raisonnable » s’entend ici du fait que les motifs étayent, effectivement ou en principe, la conclusion.  Autrement dit, même si les motifs qui ont en fait été donnés ne semblent pas tout à fait convenables pour étayer la décision, </w:t>
      </w:r>
      <w:r w:rsidRPr="00AF61B2">
        <w:rPr>
          <w:u w:val="single"/>
          <w:lang w:val="fr-FR"/>
        </w:rPr>
        <w:t>la cour de justice doit d’abord chercher à les compléter avant de tenter de les contrecarrer</w:t>
      </w:r>
      <w:r w:rsidRPr="00AF61B2">
        <w:rPr>
          <w:lang w:val="fr-FR"/>
        </w:rPr>
        <w:t xml:space="preserve">.  Car s’il est vrai que parmi les motifs pour lesquels il y a lieu de faire preuve de retenue on compte le fait que c’est le tribunal, et non la cour de justice, qui a été désigné comme décideur de première ligne, la connaissance directe qu’a le tribunal du différend, son expertise, etc., il est aussi vrai qu’on doit présumer du </w:t>
      </w:r>
      <w:proofErr w:type="spellStart"/>
      <w:r w:rsidRPr="00AF61B2">
        <w:rPr>
          <w:lang w:val="fr-FR"/>
        </w:rPr>
        <w:t>bien</w:t>
      </w:r>
      <w:r w:rsidRPr="00AF61B2">
        <w:rPr>
          <w:lang w:val="fr-FR"/>
        </w:rPr>
        <w:noBreakHyphen/>
        <w:t>fondé</w:t>
      </w:r>
      <w:proofErr w:type="spellEnd"/>
      <w:r w:rsidRPr="00AF61B2">
        <w:rPr>
          <w:lang w:val="fr-FR"/>
        </w:rPr>
        <w:t xml:space="preserve"> de sa décision même si ses motifs sont lacunaires à certains égards</w:t>
      </w:r>
      <w:r w:rsidRPr="00AF61B2">
        <w:rPr>
          <w:iCs/>
          <w:szCs w:val="24"/>
          <w:lang w:val="fr-FR"/>
        </w:rPr>
        <w:t>.</w:t>
      </w:r>
      <w:r>
        <w:rPr>
          <w:iCs/>
          <w:szCs w:val="24"/>
          <w:lang w:val="fr-FR"/>
        </w:rPr>
        <w:t xml:space="preserve"> </w:t>
      </w:r>
      <w:r w:rsidRPr="00AF61B2">
        <w:rPr>
          <w:iCs/>
          <w:szCs w:val="24"/>
          <w:lang w:val="fr-FR"/>
        </w:rPr>
        <w:t xml:space="preserve"> </w:t>
      </w:r>
      <w:proofErr w:type="gramStart"/>
      <w:r w:rsidRPr="00AF61B2">
        <w:rPr>
          <w:iCs/>
          <w:szCs w:val="24"/>
          <w:lang w:val="en-US"/>
        </w:rPr>
        <w:t xml:space="preserve">[Je </w:t>
      </w:r>
      <w:proofErr w:type="spellStart"/>
      <w:r w:rsidRPr="00AF61B2">
        <w:rPr>
          <w:iCs/>
          <w:szCs w:val="24"/>
          <w:lang w:val="en-US"/>
        </w:rPr>
        <w:t>souligne</w:t>
      </w:r>
      <w:proofErr w:type="spellEnd"/>
      <w:r w:rsidRPr="00AF61B2">
        <w:rPr>
          <w:iCs/>
          <w:szCs w:val="24"/>
          <w:lang w:val="en-US"/>
        </w:rPr>
        <w:t>.]</w:t>
      </w:r>
      <w:proofErr w:type="gramEnd"/>
    </w:p>
    <w:p w:rsidR="009E719A" w:rsidRPr="00AF61B2" w:rsidRDefault="009E719A" w:rsidP="00E1110A">
      <w:pPr>
        <w:pStyle w:val="Citation-AltC"/>
        <w:tabs>
          <w:tab w:val="left" w:pos="1170"/>
        </w:tabs>
        <w:ind w:hanging="1166"/>
        <w:contextualSpacing w:val="0"/>
        <w:rPr>
          <w:lang w:val="en-US"/>
        </w:rPr>
      </w:pPr>
      <w:r w:rsidRPr="00AF61B2">
        <w:rPr>
          <w:lang w:val="en-US"/>
        </w:rPr>
        <w:tab/>
        <w:t xml:space="preserve">(David </w:t>
      </w:r>
      <w:proofErr w:type="spellStart"/>
      <w:r w:rsidRPr="00AF61B2">
        <w:rPr>
          <w:lang w:val="en-US"/>
        </w:rPr>
        <w:t>Dyzenhaus</w:t>
      </w:r>
      <w:proofErr w:type="spellEnd"/>
      <w:r w:rsidRPr="00AF61B2">
        <w:rPr>
          <w:lang w:val="en-US"/>
        </w:rPr>
        <w:t xml:space="preserve">, « The Politics of </w:t>
      </w:r>
      <w:proofErr w:type="gramStart"/>
      <w:r w:rsidRPr="00AF61B2">
        <w:rPr>
          <w:lang w:val="en-US"/>
        </w:rPr>
        <w:t>Deference :</w:t>
      </w:r>
      <w:proofErr w:type="gramEnd"/>
      <w:r w:rsidRPr="00AF61B2">
        <w:rPr>
          <w:lang w:val="en-US"/>
        </w:rPr>
        <w:t xml:space="preserve"> Judicial Review and </w:t>
      </w:r>
      <w:r w:rsidR="00E1110A">
        <w:rPr>
          <w:lang w:val="en-US"/>
        </w:rPr>
        <w:t xml:space="preserve">Democracy », </w:t>
      </w:r>
      <w:proofErr w:type="spellStart"/>
      <w:r w:rsidR="00E1110A">
        <w:rPr>
          <w:lang w:val="en-US"/>
        </w:rPr>
        <w:t>dans</w:t>
      </w:r>
      <w:proofErr w:type="spellEnd"/>
      <w:r w:rsidR="00441C89">
        <w:rPr>
          <w:lang w:val="en-US"/>
        </w:rPr>
        <w:t xml:space="preserve"> Mich</w:t>
      </w:r>
      <w:r w:rsidR="005E2D2F">
        <w:rPr>
          <w:lang w:val="en-US"/>
        </w:rPr>
        <w:t>a</w:t>
      </w:r>
      <w:r w:rsidR="00441C89">
        <w:rPr>
          <w:lang w:val="en-US"/>
        </w:rPr>
        <w:t>e</w:t>
      </w:r>
      <w:r w:rsidR="005E2D2F">
        <w:rPr>
          <w:lang w:val="en-US"/>
        </w:rPr>
        <w:t>l</w:t>
      </w:r>
      <w:r w:rsidR="00E1110A">
        <w:rPr>
          <w:lang w:val="en-US"/>
        </w:rPr>
        <w:t xml:space="preserve"> Taggart, dir</w:t>
      </w:r>
      <w:r w:rsidRPr="00AF61B2">
        <w:rPr>
          <w:lang w:val="en-US"/>
        </w:rPr>
        <w:t xml:space="preserve">., </w:t>
      </w:r>
      <w:r w:rsidRPr="00AF61B2">
        <w:rPr>
          <w:i/>
          <w:lang w:val="en-US"/>
        </w:rPr>
        <w:t>The Province of Administrative Law</w:t>
      </w:r>
      <w:r w:rsidRPr="00AF61B2">
        <w:rPr>
          <w:lang w:val="en-US"/>
        </w:rPr>
        <w:t xml:space="preserve"> (1997), 279, p. 304)</w:t>
      </w:r>
    </w:p>
    <w:p w:rsidR="009E719A" w:rsidRPr="00AF61B2" w:rsidRDefault="009E719A" w:rsidP="00E1110A">
      <w:pPr>
        <w:pStyle w:val="Citation-AltC"/>
        <w:spacing w:after="480" w:line="480" w:lineRule="auto"/>
        <w:ind w:left="0"/>
        <w:contextualSpacing w:val="0"/>
        <w:rPr>
          <w:szCs w:val="24"/>
          <w:lang w:val="fr-FR"/>
        </w:rPr>
      </w:pPr>
      <w:proofErr w:type="spellStart"/>
      <w:proofErr w:type="gramStart"/>
      <w:r w:rsidRPr="00AF61B2">
        <w:rPr>
          <w:lang w:val="en-US"/>
        </w:rPr>
        <w:t>Voir</w:t>
      </w:r>
      <w:proofErr w:type="spellEnd"/>
      <w:r w:rsidRPr="00AF61B2">
        <w:rPr>
          <w:lang w:val="en-US"/>
        </w:rPr>
        <w:t xml:space="preserve"> </w:t>
      </w:r>
      <w:proofErr w:type="spellStart"/>
      <w:r w:rsidRPr="00AF61B2">
        <w:rPr>
          <w:lang w:val="en-US"/>
        </w:rPr>
        <w:t>aussi</w:t>
      </w:r>
      <w:proofErr w:type="spellEnd"/>
      <w:r w:rsidRPr="00AF61B2">
        <w:rPr>
          <w:lang w:val="en-US"/>
        </w:rPr>
        <w:t xml:space="preserve"> David </w:t>
      </w:r>
      <w:proofErr w:type="spellStart"/>
      <w:r w:rsidRPr="00AF61B2">
        <w:rPr>
          <w:lang w:val="en-US"/>
        </w:rPr>
        <w:t>Mullan</w:t>
      </w:r>
      <w:proofErr w:type="spellEnd"/>
      <w:r w:rsidRPr="00AF61B2">
        <w:rPr>
          <w:lang w:val="en-US"/>
        </w:rPr>
        <w:t>, « </w:t>
      </w:r>
      <w:r w:rsidRPr="00AF61B2">
        <w:rPr>
          <w:i/>
          <w:lang w:val="en-US"/>
        </w:rPr>
        <w:t>Dunsmuir v.</w:t>
      </w:r>
      <w:proofErr w:type="gramEnd"/>
      <w:r w:rsidRPr="00AF61B2">
        <w:rPr>
          <w:i/>
          <w:lang w:val="en-US"/>
        </w:rPr>
        <w:t xml:space="preserve"> New Brunswick</w:t>
      </w:r>
      <w:r w:rsidRPr="00AF61B2">
        <w:rPr>
          <w:lang w:val="en-US"/>
        </w:rPr>
        <w:t xml:space="preserve">, Standard of Review and Procedural Fairness for Public </w:t>
      </w:r>
      <w:proofErr w:type="gramStart"/>
      <w:r w:rsidRPr="00AF61B2">
        <w:rPr>
          <w:lang w:val="en-US"/>
        </w:rPr>
        <w:t>Servants :</w:t>
      </w:r>
      <w:proofErr w:type="gramEnd"/>
      <w:r w:rsidRPr="00AF61B2">
        <w:rPr>
          <w:lang w:val="en-US"/>
        </w:rPr>
        <w:t xml:space="preserve"> Let’s Try Again! » </w:t>
      </w:r>
      <w:r w:rsidRPr="00AF61B2">
        <w:rPr>
          <w:lang w:val="fr-CA"/>
        </w:rPr>
        <w:t xml:space="preserve">(2008), 21 </w:t>
      </w:r>
      <w:r w:rsidRPr="00AF61B2">
        <w:rPr>
          <w:i/>
          <w:lang w:val="fr-CA"/>
        </w:rPr>
        <w:t xml:space="preserve">C.J.A.L.P. </w:t>
      </w:r>
      <w:r w:rsidRPr="00AF61B2">
        <w:rPr>
          <w:lang w:val="fr-CA"/>
        </w:rPr>
        <w:t>117, p. 136</w:t>
      </w:r>
      <w:r w:rsidRPr="00AF61B2">
        <w:rPr>
          <w:szCs w:val="24"/>
          <w:lang w:val="fr-CA"/>
        </w:rPr>
        <w:t>; David Phillip Jones, c.r.</w:t>
      </w:r>
      <w:r w:rsidR="00E1110A">
        <w:rPr>
          <w:szCs w:val="24"/>
          <w:lang w:val="fr-CA"/>
        </w:rPr>
        <w:t>,</w:t>
      </w:r>
      <w:r w:rsidRPr="00AF61B2">
        <w:rPr>
          <w:szCs w:val="24"/>
          <w:lang w:val="fr-CA"/>
        </w:rPr>
        <w:t xml:space="preserve"> et</w:t>
      </w:r>
      <w:r>
        <w:rPr>
          <w:szCs w:val="24"/>
          <w:lang w:val="fr-CA"/>
        </w:rPr>
        <w:t xml:space="preserve"> Anne </w:t>
      </w:r>
      <w:r w:rsidRPr="00AF61B2">
        <w:rPr>
          <w:szCs w:val="24"/>
          <w:lang w:val="fr-CA"/>
        </w:rPr>
        <w:t xml:space="preserve">S. de Villars, c.r., </w:t>
      </w:r>
      <w:proofErr w:type="spellStart"/>
      <w:r w:rsidRPr="00AF61B2">
        <w:rPr>
          <w:i/>
          <w:iCs/>
          <w:szCs w:val="24"/>
          <w:lang w:val="fr-CA"/>
        </w:rPr>
        <w:t>Principles</w:t>
      </w:r>
      <w:proofErr w:type="spellEnd"/>
      <w:r w:rsidRPr="00AF61B2">
        <w:rPr>
          <w:i/>
          <w:iCs/>
          <w:szCs w:val="24"/>
          <w:lang w:val="fr-CA"/>
        </w:rPr>
        <w:t xml:space="preserve"> of Administrative Law</w:t>
      </w:r>
      <w:r w:rsidRPr="00AF61B2">
        <w:rPr>
          <w:szCs w:val="24"/>
          <w:lang w:val="fr-CA"/>
        </w:rPr>
        <w:t xml:space="preserve"> </w:t>
      </w:r>
      <w:r w:rsidR="005E2D2F">
        <w:rPr>
          <w:szCs w:val="24"/>
          <w:lang w:val="fr-FR"/>
        </w:rPr>
        <w:t>(5</w:t>
      </w:r>
      <w:r w:rsidR="000B2711" w:rsidRPr="000B2711">
        <w:rPr>
          <w:szCs w:val="24"/>
          <w:vertAlign w:val="superscript"/>
          <w:lang w:val="fr-FR"/>
        </w:rPr>
        <w:t>e</w:t>
      </w:r>
      <w:r w:rsidR="000B2711">
        <w:rPr>
          <w:szCs w:val="24"/>
          <w:lang w:val="fr-FR"/>
        </w:rPr>
        <w:t xml:space="preserve"> éd.</w:t>
      </w:r>
      <w:r w:rsidR="005E2D2F">
        <w:rPr>
          <w:szCs w:val="24"/>
          <w:lang w:val="fr-FR"/>
        </w:rPr>
        <w:t xml:space="preserve"> 2009</w:t>
      </w:r>
      <w:r w:rsidRPr="00AF61B2">
        <w:rPr>
          <w:szCs w:val="24"/>
          <w:lang w:val="fr-FR"/>
        </w:rPr>
        <w:t xml:space="preserve">), p. 380; et </w:t>
      </w:r>
      <w:r w:rsidRPr="00AF61B2">
        <w:rPr>
          <w:i/>
          <w:iCs/>
          <w:szCs w:val="24"/>
          <w:lang w:val="fr-FR"/>
        </w:rPr>
        <w:t xml:space="preserve">Canada (Citoyenneté et Immigration) c. </w:t>
      </w:r>
      <w:proofErr w:type="spellStart"/>
      <w:r w:rsidRPr="00AF61B2">
        <w:rPr>
          <w:i/>
          <w:iCs/>
          <w:szCs w:val="24"/>
          <w:lang w:val="fr-FR"/>
        </w:rPr>
        <w:t>Khosa</w:t>
      </w:r>
      <w:proofErr w:type="spellEnd"/>
      <w:r w:rsidRPr="00AF61B2">
        <w:rPr>
          <w:szCs w:val="24"/>
          <w:lang w:val="fr-FR"/>
        </w:rPr>
        <w:t>, 2009 CSC 12, [2009] 1 R.C.S. 339, par. 63.</w:t>
      </w:r>
    </w:p>
    <w:p w:rsidR="009E719A" w:rsidRPr="00AF61B2" w:rsidRDefault="009E719A" w:rsidP="009E719A">
      <w:pPr>
        <w:pStyle w:val="ParaNoNdepar-AltN"/>
        <w:rPr>
          <w:lang w:val="fr-FR"/>
        </w:rPr>
      </w:pPr>
      <w:r w:rsidRPr="00AF61B2">
        <w:rPr>
          <w:lang w:val="fr-FR"/>
        </w:rPr>
        <w:t xml:space="preserve">C’est dans cette optique, selon moi, qu’il faut interpréter ce que la Cour voulait dire dans </w:t>
      </w:r>
      <w:proofErr w:type="spellStart"/>
      <w:r w:rsidRPr="00AF61B2">
        <w:rPr>
          <w:i/>
          <w:lang w:val="fr-FR"/>
        </w:rPr>
        <w:t>Dunsmuir</w:t>
      </w:r>
      <w:proofErr w:type="spellEnd"/>
      <w:r w:rsidRPr="00AF61B2">
        <w:rPr>
          <w:lang w:val="fr-FR"/>
        </w:rPr>
        <w:t xml:space="preserve"> lorsqu’elle a parlé de « </w:t>
      </w:r>
      <w:r w:rsidR="005E2D2F">
        <w:rPr>
          <w:lang w:val="fr-FR"/>
        </w:rPr>
        <w:t xml:space="preserve">la </w:t>
      </w:r>
      <w:r w:rsidRPr="00AF61B2">
        <w:rPr>
          <w:lang w:val="fr-FR"/>
        </w:rPr>
        <w:t>justification de la décision [</w:t>
      </w:r>
      <w:r w:rsidR="003546DF">
        <w:rPr>
          <w:lang w:val="fr-FR"/>
        </w:rPr>
        <w:t xml:space="preserve">ainsi que </w:t>
      </w:r>
      <w:r w:rsidRPr="00AF61B2">
        <w:rPr>
          <w:lang w:val="fr-FR"/>
        </w:rPr>
        <w:t xml:space="preserve">de] la transparence et [de] l’intelligibilité du processus décisionnel ».  À mon avis, ces propos témoignent d’une reconnaissance respectueuse du vaste éventail </w:t>
      </w:r>
      <w:r w:rsidRPr="00AF61B2">
        <w:rPr>
          <w:lang w:val="fr-FR"/>
        </w:rPr>
        <w:lastRenderedPageBreak/>
        <w:t xml:space="preserve">de décideurs spécialisés qui rendent couramment des décisions </w:t>
      </w:r>
      <w:r w:rsidRPr="00AF61B2">
        <w:rPr>
          <w:rFonts w:cs="Times New Roman"/>
          <w:lang w:val="fr-FR"/>
        </w:rPr>
        <w:t>—</w:t>
      </w:r>
      <w:r w:rsidRPr="00AF61B2">
        <w:rPr>
          <w:lang w:val="fr-FR"/>
        </w:rPr>
        <w:t xml:space="preserve"> qui paraissent souvent </w:t>
      </w:r>
      <w:proofErr w:type="spellStart"/>
      <w:r w:rsidRPr="00AF61B2">
        <w:rPr>
          <w:lang w:val="fr-FR"/>
        </w:rPr>
        <w:t>contre</w:t>
      </w:r>
      <w:r w:rsidRPr="00AF61B2">
        <w:rPr>
          <w:lang w:val="fr-FR"/>
        </w:rPr>
        <w:noBreakHyphen/>
        <w:t>intuitives</w:t>
      </w:r>
      <w:proofErr w:type="spellEnd"/>
      <w:r w:rsidRPr="00AF61B2">
        <w:rPr>
          <w:lang w:val="fr-FR"/>
        </w:rPr>
        <w:t xml:space="preserve"> aux yeux d’un généraliste </w:t>
      </w:r>
      <w:r w:rsidRPr="00AF61B2">
        <w:rPr>
          <w:rFonts w:cs="Times New Roman"/>
          <w:lang w:val="fr-FR"/>
        </w:rPr>
        <w:t xml:space="preserve">— dans </w:t>
      </w:r>
      <w:r w:rsidRPr="00AF61B2">
        <w:rPr>
          <w:lang w:val="fr-FR"/>
        </w:rPr>
        <w:t xml:space="preserve">leurs sphères d’expertise, et ce en ayant recours à des concepts et des termes souvent propres à leurs champs d’activité.  C’est sur ce fondement que notre Cour a changé d’orientation dans </w:t>
      </w:r>
      <w:r w:rsidRPr="00AF61B2">
        <w:rPr>
          <w:i/>
          <w:lang w:val="fr-FR"/>
        </w:rPr>
        <w:t xml:space="preserve">Syndicat canadien de la Fonction publique, section locale 963 c. Société des alcools du </w:t>
      </w:r>
      <w:proofErr w:type="spellStart"/>
      <w:r w:rsidRPr="00AF61B2">
        <w:rPr>
          <w:i/>
          <w:lang w:val="fr-FR"/>
        </w:rPr>
        <w:t>Nouveau</w:t>
      </w:r>
      <w:r w:rsidRPr="00AF61B2">
        <w:rPr>
          <w:i/>
          <w:lang w:val="fr-FR"/>
        </w:rPr>
        <w:noBreakHyphen/>
        <w:t>Brunswick</w:t>
      </w:r>
      <w:proofErr w:type="spellEnd"/>
      <w:r w:rsidRPr="00AF61B2">
        <w:rPr>
          <w:lang w:val="fr-FR"/>
        </w:rPr>
        <w:t>, [1979] 2 R.C.S. 227, o</w:t>
      </w:r>
      <w:r w:rsidRPr="00AF61B2">
        <w:rPr>
          <w:rFonts w:cs="Times New Roman"/>
          <w:lang w:val="fr-FR"/>
        </w:rPr>
        <w:t>ù</w:t>
      </w:r>
      <w:r w:rsidRPr="00AF61B2">
        <w:rPr>
          <w:lang w:val="fr-FR"/>
        </w:rPr>
        <w:t xml:space="preserve"> le juge Dickson a insisté sur le fait qu’il y avait lieu de faire preuve de déférence en appréciant les décisions des tribunaux administratifs spécialisés.  Cet arrêt a amené la Cour à faire preuve d’une déférence accrue envers les tribunaux, comme en témoigne la conclusion, tirée dans </w:t>
      </w:r>
      <w:proofErr w:type="spellStart"/>
      <w:r w:rsidRPr="00AF61B2">
        <w:rPr>
          <w:i/>
          <w:lang w:val="fr-FR"/>
        </w:rPr>
        <w:t>Dunsmuir</w:t>
      </w:r>
      <w:proofErr w:type="spellEnd"/>
      <w:r w:rsidRPr="00AF61B2">
        <w:rPr>
          <w:lang w:val="fr-FR"/>
        </w:rPr>
        <w:t xml:space="preserve">, qu’il doit être « loisible au tribunal administratif d’opter pour l’une ou l’autre des différentes solutions rationnelles acceptables » (par. 47). </w:t>
      </w:r>
    </w:p>
    <w:p w:rsidR="009E719A" w:rsidRPr="00AF61B2" w:rsidRDefault="009E719A" w:rsidP="009E719A">
      <w:pPr>
        <w:pStyle w:val="ParaNoNdepar-AltN"/>
        <w:rPr>
          <w:lang w:val="fr-FR"/>
        </w:rPr>
      </w:pPr>
      <w:r w:rsidRPr="00AF61B2">
        <w:rPr>
          <w:lang w:val="fr-FR"/>
        </w:rPr>
        <w:t xml:space="preserve">Je ne suis pas d’avis que, considéré dans son ensemble, l’arrêt </w:t>
      </w:r>
      <w:proofErr w:type="spellStart"/>
      <w:r w:rsidRPr="00AF61B2">
        <w:rPr>
          <w:i/>
          <w:lang w:val="fr-FR"/>
        </w:rPr>
        <w:t>Dunsmuir</w:t>
      </w:r>
      <w:proofErr w:type="spellEnd"/>
      <w:r w:rsidRPr="00AF61B2">
        <w:rPr>
          <w:lang w:val="fr-FR"/>
        </w:rPr>
        <w:t xml:space="preserve"> signifie que l’« insuffisance » des motifs permet à elle seule de casser une décision, ou que les cours de révision doivent effectuer deux analyses distinctes, l’une portant sur les motifs et l’autre, sur le résultat (Donald J. M. Brown et John M. Evans, </w:t>
      </w:r>
      <w:proofErr w:type="spellStart"/>
      <w:r w:rsidRPr="00AF61B2">
        <w:rPr>
          <w:i/>
          <w:lang w:val="fr-FR"/>
        </w:rPr>
        <w:t>Judicial</w:t>
      </w:r>
      <w:proofErr w:type="spellEnd"/>
      <w:r w:rsidRPr="00AF61B2">
        <w:rPr>
          <w:i/>
          <w:lang w:val="fr-FR"/>
        </w:rPr>
        <w:t xml:space="preserve"> </w:t>
      </w:r>
      <w:proofErr w:type="spellStart"/>
      <w:r w:rsidRPr="00AF61B2">
        <w:rPr>
          <w:i/>
          <w:lang w:val="fr-FR"/>
        </w:rPr>
        <w:t>Review</w:t>
      </w:r>
      <w:proofErr w:type="spellEnd"/>
      <w:r w:rsidRPr="00AF61B2">
        <w:rPr>
          <w:i/>
          <w:lang w:val="fr-FR"/>
        </w:rPr>
        <w:t xml:space="preserve"> of Administrative Action in Canada</w:t>
      </w:r>
      <w:r w:rsidR="006C6AE8">
        <w:rPr>
          <w:lang w:val="fr-FR"/>
        </w:rPr>
        <w:t xml:space="preserve"> (feuilles mobiles),</w:t>
      </w:r>
      <w:r w:rsidRPr="00AF61B2">
        <w:rPr>
          <w:lang w:val="fr-FR"/>
        </w:rPr>
        <w:t xml:space="preserve"> </w:t>
      </w:r>
      <w:r w:rsidRPr="00AF61B2">
        <w:rPr>
          <w:rFonts w:cs="Times New Roman"/>
          <w:lang w:val="fr-FR"/>
        </w:rPr>
        <w:t>§</w:t>
      </w:r>
      <w:r w:rsidR="005E2D2F">
        <w:rPr>
          <w:rFonts w:cs="Times New Roman"/>
          <w:lang w:val="fr-FR"/>
        </w:rPr>
        <w:t>§</w:t>
      </w:r>
      <w:r w:rsidRPr="00AF61B2">
        <w:rPr>
          <w:lang w:val="fr-CA"/>
        </w:rPr>
        <w:t>12:5330 et 12:5510)</w:t>
      </w:r>
      <w:r w:rsidRPr="00AF61B2">
        <w:rPr>
          <w:lang w:val="fr-FR"/>
        </w:rPr>
        <w:t xml:space="preserve">.  Il s’agit d’un exercice plus global : les motifs doivent être examinés en corrélation avec le résultat et ils doivent permettre de savoir si ce dernier fait partie des issues possibles.  Il me semble que c’est ce que la Cour voulait dire dans </w:t>
      </w:r>
      <w:proofErr w:type="spellStart"/>
      <w:r w:rsidRPr="00AF61B2">
        <w:rPr>
          <w:i/>
          <w:lang w:val="fr-FR"/>
        </w:rPr>
        <w:t>Dunsmuir</w:t>
      </w:r>
      <w:proofErr w:type="spellEnd"/>
      <w:r w:rsidRPr="00AF61B2">
        <w:rPr>
          <w:lang w:val="fr-FR"/>
        </w:rPr>
        <w:t xml:space="preserve"> en invitant les cours de révision à se demander si « la décision et sa justification possèdent les attributs de la </w:t>
      </w:r>
      <w:proofErr w:type="spellStart"/>
      <w:r w:rsidRPr="00AF61B2">
        <w:rPr>
          <w:lang w:val="fr-FR"/>
        </w:rPr>
        <w:t>raisonnabilité</w:t>
      </w:r>
      <w:proofErr w:type="spellEnd"/>
      <w:r w:rsidRPr="00AF61B2">
        <w:rPr>
          <w:lang w:val="fr-FR"/>
        </w:rPr>
        <w:t> » (par. 47).</w:t>
      </w:r>
    </w:p>
    <w:p w:rsidR="009E719A" w:rsidRPr="00AF61B2" w:rsidRDefault="009E719A" w:rsidP="009E719A">
      <w:pPr>
        <w:pStyle w:val="ParaNoNdepar-AltN"/>
        <w:rPr>
          <w:lang w:val="fr-FR"/>
        </w:rPr>
      </w:pPr>
      <w:r w:rsidRPr="00AF61B2">
        <w:rPr>
          <w:lang w:val="fr-FR"/>
        </w:rPr>
        <w:lastRenderedPageBreak/>
        <w:t>La cour de justice qui se demande si la décision qu’elle est en train d’examiner est raisonnable du point de vue du résultat et des motifs doit faire preuve de « respect [à l’égard] du processus décisionnel [de l’organisme juridictionnel] au regard des faits et du droit </w:t>
      </w:r>
      <w:r w:rsidRPr="00AF61B2">
        <w:rPr>
          <w:lang w:val="fr-CA"/>
        </w:rPr>
        <w:t>»</w:t>
      </w:r>
      <w:r w:rsidRPr="00AF61B2">
        <w:rPr>
          <w:lang w:val="fr-FR"/>
        </w:rPr>
        <w:t xml:space="preserve"> (</w:t>
      </w:r>
      <w:proofErr w:type="spellStart"/>
      <w:r w:rsidRPr="00AF61B2">
        <w:rPr>
          <w:i/>
          <w:lang w:val="fr-FR"/>
        </w:rPr>
        <w:t>Dunsmuir</w:t>
      </w:r>
      <w:proofErr w:type="spellEnd"/>
      <w:r w:rsidRPr="00AF61B2">
        <w:rPr>
          <w:lang w:val="fr-FR"/>
        </w:rPr>
        <w:t>, par. 48).  Elle ne doit donc pas substituer ses propres motifs à ceux de la décision sous examen mais peut toutefois, si elle le juge nécessaire, examiner le dossier pour apprécier le caractère raisonnable du résultat.</w:t>
      </w:r>
    </w:p>
    <w:p w:rsidR="009E719A" w:rsidRPr="00AF61B2" w:rsidRDefault="009E719A" w:rsidP="009E719A">
      <w:pPr>
        <w:pStyle w:val="ParaNoNdepar-AltN"/>
        <w:rPr>
          <w:lang w:val="fr-FR"/>
        </w:rPr>
      </w:pPr>
      <w:r w:rsidRPr="00AF61B2">
        <w:rPr>
          <w:lang w:val="fr-FR"/>
        </w:rPr>
        <w:t xml:space="preserve">Il se peut que les motifs ne fassent pas référence à tous les arguments, dispositions législatives, précédents ou autres détails que le juge siégeant en révision aurait voulu y lire, mais cela ne met pas en doute leur validité ni celle du résultat au terme de l’analyse du caractère raisonnable de la décision.  Le décideur n’est pas tenu de tirer une conclusion explicite sur chaque élément constitutif du raisonnement, si subordonné </w:t>
      </w:r>
      <w:proofErr w:type="spellStart"/>
      <w:r w:rsidRPr="00AF61B2">
        <w:rPr>
          <w:lang w:val="fr-FR"/>
        </w:rPr>
        <w:t>soit</w:t>
      </w:r>
      <w:r w:rsidRPr="00AF61B2">
        <w:rPr>
          <w:lang w:val="fr-FR"/>
        </w:rPr>
        <w:noBreakHyphen/>
        <w:t>il</w:t>
      </w:r>
      <w:proofErr w:type="spellEnd"/>
      <w:r w:rsidRPr="00AF61B2">
        <w:rPr>
          <w:lang w:val="fr-FR"/>
        </w:rPr>
        <w:t>, qui a mené à sa conclusion finale (</w:t>
      </w:r>
      <w:r w:rsidRPr="00AF61B2">
        <w:rPr>
          <w:i/>
          <w:lang w:val="fr-FR"/>
        </w:rPr>
        <w:t>Union internationale des employés des services, local n</w:t>
      </w:r>
      <w:r w:rsidRPr="00AF61B2">
        <w:rPr>
          <w:i/>
          <w:vertAlign w:val="superscript"/>
          <w:lang w:val="fr-FR"/>
        </w:rPr>
        <w:t>o</w:t>
      </w:r>
      <w:r w:rsidRPr="00AF61B2">
        <w:rPr>
          <w:i/>
          <w:lang w:val="fr-FR"/>
        </w:rPr>
        <w:t xml:space="preserve"> 333 c. </w:t>
      </w:r>
      <w:proofErr w:type="spellStart"/>
      <w:r w:rsidRPr="00AF61B2">
        <w:rPr>
          <w:i/>
          <w:lang w:val="fr-FR"/>
        </w:rPr>
        <w:t>Nipawin</w:t>
      </w:r>
      <w:proofErr w:type="spellEnd"/>
      <w:r w:rsidRPr="00AF61B2">
        <w:rPr>
          <w:i/>
          <w:lang w:val="fr-FR"/>
        </w:rPr>
        <w:t xml:space="preserve"> District Staff Nurses </w:t>
      </w:r>
      <w:proofErr w:type="spellStart"/>
      <w:r w:rsidRPr="00AF61B2">
        <w:rPr>
          <w:i/>
          <w:lang w:val="fr-FR"/>
        </w:rPr>
        <w:t>Assn</w:t>
      </w:r>
      <w:proofErr w:type="spellEnd"/>
      <w:r w:rsidRPr="00AF61B2">
        <w:rPr>
          <w:i/>
          <w:lang w:val="fr-FR"/>
        </w:rPr>
        <w:t>.</w:t>
      </w:r>
      <w:r w:rsidRPr="00AF61B2">
        <w:rPr>
          <w:lang w:val="fr-FR"/>
        </w:rPr>
        <w:t xml:space="preserve">, </w:t>
      </w:r>
      <w:r w:rsidRPr="00AF61B2">
        <w:rPr>
          <w:rFonts w:cs="Times New Roman"/>
          <w:lang w:val="fr-FR"/>
        </w:rPr>
        <w:t>[1975] 1 R.C.S. 382</w:t>
      </w:r>
      <w:r w:rsidRPr="00AF61B2">
        <w:rPr>
          <w:lang w:val="fr-FR"/>
        </w:rPr>
        <w:t xml:space="preserve">, p. 391).  En d’autres termes, les motifs répondent aux critères établis dans </w:t>
      </w:r>
      <w:proofErr w:type="spellStart"/>
      <w:r w:rsidRPr="00AF61B2">
        <w:rPr>
          <w:i/>
          <w:lang w:val="fr-FR"/>
        </w:rPr>
        <w:t>Dunsmuir</w:t>
      </w:r>
      <w:proofErr w:type="spellEnd"/>
      <w:r w:rsidRPr="00AF61B2">
        <w:rPr>
          <w:i/>
          <w:lang w:val="fr-FR"/>
        </w:rPr>
        <w:t xml:space="preserve"> </w:t>
      </w:r>
      <w:r w:rsidRPr="00AF61B2">
        <w:rPr>
          <w:lang w:val="fr-FR"/>
        </w:rPr>
        <w:t xml:space="preserve">s’ils permettent à la cour de révision de comprendre le fondement de la décision du tribunal et de déterminer si la conclusion fait partie des issues possibles acceptables. </w:t>
      </w:r>
    </w:p>
    <w:p w:rsidR="009E719A" w:rsidRPr="00AF61B2" w:rsidRDefault="009E719A" w:rsidP="009E719A">
      <w:pPr>
        <w:pStyle w:val="ParaNoNdepar-AltN"/>
        <w:rPr>
          <w:lang w:val="fr-CA"/>
        </w:rPr>
      </w:pPr>
      <w:r w:rsidRPr="00AF61B2">
        <w:rPr>
          <w:lang w:val="fr-FR"/>
        </w:rPr>
        <w:t xml:space="preserve">Le fait que la convention collective puisse se prêter à une interprétation autre que celle que lui a donnée l’arbitre ne mène pas forcément à la conclusion qu’il faut annuler sa décision, si </w:t>
      </w:r>
      <w:proofErr w:type="spellStart"/>
      <w:r w:rsidRPr="00AF61B2">
        <w:rPr>
          <w:lang w:val="fr-FR"/>
        </w:rPr>
        <w:t>celle</w:t>
      </w:r>
      <w:r w:rsidRPr="00AF61B2">
        <w:rPr>
          <w:lang w:val="fr-FR"/>
        </w:rPr>
        <w:noBreakHyphen/>
        <w:t>ci</w:t>
      </w:r>
      <w:proofErr w:type="spellEnd"/>
      <w:r w:rsidRPr="00AF61B2">
        <w:rPr>
          <w:lang w:val="fr-FR"/>
        </w:rPr>
        <w:t xml:space="preserve"> fait partie des issues possibles raisonnables.  Les juges siégeant en révision doivent accorder une « attention respectueuse » aux motifs </w:t>
      </w:r>
      <w:r w:rsidRPr="00AF61B2">
        <w:rPr>
          <w:lang w:val="fr-FR"/>
        </w:rPr>
        <w:lastRenderedPageBreak/>
        <w:t>des décideurs et se garder de substituer leurs propres opinions à celles de ces derniers quant au résultat approprié en qualifiant de fatales certaines omissions qu’ils ont relevées dans les motifs</w:t>
      </w:r>
      <w:r w:rsidRPr="00AF61B2">
        <w:rPr>
          <w:lang w:val="fr-CA"/>
        </w:rPr>
        <w:t xml:space="preserve">.  </w:t>
      </w:r>
    </w:p>
    <w:p w:rsidR="009E719A" w:rsidRPr="00AF61B2" w:rsidRDefault="009E719A" w:rsidP="009E719A">
      <w:pPr>
        <w:pStyle w:val="ParaNoNdepar-AltN"/>
        <w:rPr>
          <w:lang w:val="fr-CA"/>
        </w:rPr>
      </w:pPr>
      <w:r w:rsidRPr="00AF61B2">
        <w:rPr>
          <w:lang w:val="fr-CA"/>
        </w:rPr>
        <w:t>D</w:t>
      </w:r>
      <w:r w:rsidRPr="00AF61B2">
        <w:rPr>
          <w:lang w:val="fr-FR"/>
        </w:rPr>
        <w:t xml:space="preserve">ans </w:t>
      </w:r>
      <w:r w:rsidRPr="00AF61B2">
        <w:rPr>
          <w:i/>
          <w:lang w:val="fr-FR"/>
        </w:rPr>
        <w:t>Société canadienne des postes c.</w:t>
      </w:r>
      <w:r w:rsidRPr="00AF61B2">
        <w:rPr>
          <w:lang w:val="fr-FR"/>
        </w:rPr>
        <w:t xml:space="preserve"> </w:t>
      </w:r>
      <w:r w:rsidRPr="00AF61B2">
        <w:rPr>
          <w:i/>
          <w:lang w:val="fr-FR"/>
        </w:rPr>
        <w:t>Alliance de la Fonction publique du Canada</w:t>
      </w:r>
      <w:r w:rsidRPr="00AF61B2">
        <w:rPr>
          <w:lang w:val="fr-FR"/>
        </w:rPr>
        <w:t>, 2010 CAF 56, [2011] 2 R.C.F. 221, le juge Evans précise, dans des motifs confirmés par notre Cour (2011 CSC 57</w:t>
      </w:r>
      <w:r w:rsidR="005E2D2F">
        <w:rPr>
          <w:lang w:val="fr-FR"/>
        </w:rPr>
        <w:t>, [2011] 3 R.C.S. 572</w:t>
      </w:r>
      <w:r w:rsidRPr="00AF61B2">
        <w:rPr>
          <w:lang w:val="fr-FR"/>
        </w:rPr>
        <w:t xml:space="preserve">), que l’arrêt </w:t>
      </w:r>
      <w:proofErr w:type="spellStart"/>
      <w:r w:rsidRPr="00AF61B2">
        <w:rPr>
          <w:i/>
          <w:lang w:val="fr-FR"/>
        </w:rPr>
        <w:t>Dunsmuir</w:t>
      </w:r>
      <w:proofErr w:type="spellEnd"/>
      <w:r w:rsidRPr="00AF61B2">
        <w:rPr>
          <w:lang w:val="fr-FR"/>
        </w:rPr>
        <w:t xml:space="preserve"> cherche à « [éviter] qu’on [aborde] le contrôle judiciaire sous un angle trop formaliste » (par. 164).  Il signale qu’« </w:t>
      </w:r>
      <w:r w:rsidRPr="00AF61B2">
        <w:rPr>
          <w:rFonts w:cs="Times New Roman"/>
          <w:lang w:val="fr-FR"/>
        </w:rPr>
        <w:t>[</w:t>
      </w:r>
      <w:r w:rsidRPr="00AF61B2">
        <w:rPr>
          <w:lang w:val="fr-FR"/>
        </w:rPr>
        <w:t>o</w:t>
      </w:r>
      <w:r w:rsidRPr="00AF61B2">
        <w:rPr>
          <w:rFonts w:cs="Times New Roman"/>
          <w:lang w:val="fr-FR"/>
        </w:rPr>
        <w:t>]</w:t>
      </w:r>
      <w:r w:rsidR="003546DF">
        <w:rPr>
          <w:lang w:val="fr-FR"/>
        </w:rPr>
        <w:t>n ne s’</w:t>
      </w:r>
      <w:proofErr w:type="spellStart"/>
      <w:r w:rsidRPr="00AF61B2">
        <w:rPr>
          <w:lang w:val="fr-FR"/>
        </w:rPr>
        <w:t>atten</w:t>
      </w:r>
      <w:proofErr w:type="spellEnd"/>
      <w:r w:rsidR="003546DF">
        <w:rPr>
          <w:lang w:val="fr-FR"/>
        </w:rPr>
        <w:t>[</w:t>
      </w:r>
      <w:r w:rsidRPr="00AF61B2">
        <w:rPr>
          <w:lang w:val="fr-FR"/>
        </w:rPr>
        <w:t>d] pas à de la perfection » et indique que la cour de révision doit se demander si, « lorsqu’on les examine à la lumière des éléments de preuve dont il disposait et de la nature de la tâche que la loi lui confie, on constate que les motifs du Tribunal expliquent de façon adéquate le fondement de sa décision » (par. 163).  J’estime que la description de l’exercice que donnent les intimées dans leur mémoire est particulièrement utile pour en décrire la nature :</w:t>
      </w:r>
    </w:p>
    <w:p w:rsidR="009E719A" w:rsidRPr="00AF61B2" w:rsidRDefault="009E719A" w:rsidP="009E719A">
      <w:pPr>
        <w:pStyle w:val="Citation-AltC"/>
        <w:ind w:hanging="1166"/>
        <w:rPr>
          <w:lang w:val="fr-CA"/>
        </w:rPr>
      </w:pPr>
      <w:r w:rsidRPr="00AF61B2">
        <w:rPr>
          <w:lang w:val="fr-CA"/>
        </w:rPr>
        <w:tab/>
      </w:r>
      <w:r w:rsidRPr="00AF61B2">
        <w:rPr>
          <w:lang w:val="fr-FR"/>
        </w:rPr>
        <w:t>[</w:t>
      </w:r>
      <w:r w:rsidRPr="00AF61B2">
        <w:rPr>
          <w:smallCaps/>
          <w:lang w:val="fr-FR"/>
        </w:rPr>
        <w:t xml:space="preserve">traduction]  </w:t>
      </w:r>
      <w:r w:rsidRPr="00AF61B2">
        <w:rPr>
          <w:lang w:val="fr-FR"/>
        </w:rPr>
        <w:t xml:space="preserve">La déférence est le principe directeur qui régit le contrôle de la décision d’un tribunal administratif selon la norme de la décision raisonnable.  Il ne faut pas examiner les motifs dans l’abstrait; il faut examiner le résultat dans le contexte de la preuve, des arguments des parties et du processus.  </w:t>
      </w:r>
      <w:r w:rsidRPr="00AF61B2">
        <w:rPr>
          <w:lang w:val="fr-CA"/>
        </w:rPr>
        <w:t>Il n’est pas nécessaire que les motifs soient parfaits ou exhaustifs.  [</w:t>
      </w:r>
      <w:proofErr w:type="gramStart"/>
      <w:r w:rsidRPr="00AF61B2">
        <w:rPr>
          <w:lang w:val="fr-CA"/>
        </w:rPr>
        <w:t>par</w:t>
      </w:r>
      <w:proofErr w:type="gramEnd"/>
      <w:r w:rsidRPr="00AF61B2">
        <w:rPr>
          <w:lang w:val="fr-CA"/>
        </w:rPr>
        <w:t xml:space="preserve">. 44] </w:t>
      </w:r>
    </w:p>
    <w:p w:rsidR="009E719A" w:rsidRPr="00AF61B2" w:rsidRDefault="009E719A" w:rsidP="009E719A">
      <w:pPr>
        <w:pStyle w:val="ParaNoNdepar-AltN"/>
        <w:rPr>
          <w:lang w:val="fr-CA"/>
        </w:rPr>
      </w:pPr>
      <w:r w:rsidRPr="00AF61B2">
        <w:rPr>
          <w:lang w:val="fr-CA"/>
        </w:rPr>
        <w:t>Le s</w:t>
      </w:r>
      <w:proofErr w:type="spellStart"/>
      <w:r w:rsidRPr="00AF61B2">
        <w:rPr>
          <w:lang w:val="fr-FR"/>
        </w:rPr>
        <w:t>yndicat</w:t>
      </w:r>
      <w:proofErr w:type="spellEnd"/>
      <w:r w:rsidRPr="00AF61B2">
        <w:rPr>
          <w:lang w:val="fr-FR"/>
        </w:rPr>
        <w:t xml:space="preserve"> a reconnu que l’interprétation qu’un arbitre donne à une convention collective est soumise à la norme de la décision raisonnable.  Mais, d’après ce que je crois comprendre, il a soutenu devant nous que puisque les motifs </w:t>
      </w:r>
      <w:r w:rsidRPr="00AF61B2">
        <w:rPr>
          <w:lang w:val="fr-FR"/>
        </w:rPr>
        <w:lastRenderedPageBreak/>
        <w:t xml:space="preserve">de l’arbitre étaient assimilables à une « absence de motifs » et que, selon </w:t>
      </w:r>
      <w:r w:rsidRPr="00AF61B2">
        <w:rPr>
          <w:i/>
          <w:lang w:val="fr-FR"/>
        </w:rPr>
        <w:t>Baker</w:t>
      </w:r>
      <w:r w:rsidRPr="00AF61B2">
        <w:rPr>
          <w:lang w:val="fr-FR"/>
        </w:rPr>
        <w:t xml:space="preserve"> </w:t>
      </w:r>
      <w:r w:rsidRPr="00AF61B2">
        <w:rPr>
          <w:i/>
          <w:lang w:val="fr-FR"/>
        </w:rPr>
        <w:t>c. Canada (Ministre de la Citoyenneté et de l’Immigration)</w:t>
      </w:r>
      <w:r w:rsidRPr="00AF61B2">
        <w:rPr>
          <w:lang w:val="fr-FR"/>
        </w:rPr>
        <w:t>, [1999] 2 R.C.S. 817, l’obligation de fournir des motifs relève de l’équité procédurale, c’est la norme de la décision correcte qu’il convient d’appliquer</w:t>
      </w:r>
      <w:r w:rsidRPr="00AF61B2">
        <w:rPr>
          <w:lang w:val="fr-CA"/>
        </w:rPr>
        <w:t>.</w:t>
      </w:r>
    </w:p>
    <w:p w:rsidR="009E719A" w:rsidRPr="00AF61B2" w:rsidRDefault="009E719A" w:rsidP="009E719A">
      <w:pPr>
        <w:pStyle w:val="ParaNoNdepar-AltN"/>
        <w:rPr>
          <w:lang w:val="fr-CA"/>
        </w:rPr>
      </w:pPr>
      <w:r w:rsidRPr="00AF61B2">
        <w:rPr>
          <w:lang w:val="fr-CA"/>
        </w:rPr>
        <w:t>L</w:t>
      </w:r>
      <w:r w:rsidRPr="00AF61B2">
        <w:rPr>
          <w:lang w:val="fr-FR"/>
        </w:rPr>
        <w:t xml:space="preserve">a question de l’équité procédurale n’a été soulevée ni devant le juge siégeant en révision, ni devant la Cour d’appel, et notre Cour peut la trancher aisément.  L’arrêt </w:t>
      </w:r>
      <w:r w:rsidRPr="00AF61B2">
        <w:rPr>
          <w:i/>
          <w:lang w:val="fr-FR"/>
        </w:rPr>
        <w:t>Baker</w:t>
      </w:r>
      <w:r w:rsidRPr="00AF61B2">
        <w:rPr>
          <w:lang w:val="fr-FR"/>
        </w:rPr>
        <w:t xml:space="preserve"> établit que, « dans certaines circonstances », l’obligation d’équité procédurale requiert « une forme quelconque de motifs écrits » à l’appui d’une décision (par. 43).  Il n’y est pas affirmé que des motifs s’imposent </w:t>
      </w:r>
      <w:r w:rsidRPr="00AF61B2">
        <w:rPr>
          <w:i/>
          <w:lang w:val="fr-FR"/>
        </w:rPr>
        <w:t>dans tous les cas</w:t>
      </w:r>
      <w:r w:rsidRPr="00AF61B2">
        <w:rPr>
          <w:lang w:val="fr-FR"/>
        </w:rPr>
        <w:t xml:space="preserve">, ni que leur </w:t>
      </w:r>
      <w:r w:rsidRPr="00AF61B2">
        <w:rPr>
          <w:i/>
          <w:lang w:val="fr-FR"/>
        </w:rPr>
        <w:t>qualité</w:t>
      </w:r>
      <w:r w:rsidRPr="00AF61B2">
        <w:rPr>
          <w:lang w:val="fr-FR"/>
        </w:rPr>
        <w:t xml:space="preserve"> relève de l’équité procédurale.  En fait, après avoir jugé que des motifs s’imposaient dans la situation qui l’occupait, la Cour a conclu dans </w:t>
      </w:r>
      <w:r w:rsidRPr="00AF61B2">
        <w:rPr>
          <w:i/>
          <w:lang w:val="fr-FR"/>
        </w:rPr>
        <w:t>Baker</w:t>
      </w:r>
      <w:r w:rsidRPr="00AF61B2">
        <w:rPr>
          <w:lang w:val="fr-FR"/>
        </w:rPr>
        <w:t xml:space="preserve"> que les simples notes d’un agent d’immigration suffisaient pour remplir l’obligation d’équité procédurale (par. 44)</w:t>
      </w:r>
      <w:r w:rsidRPr="00AF61B2">
        <w:rPr>
          <w:lang w:val="fr-CA"/>
        </w:rPr>
        <w:t xml:space="preserve">.  </w:t>
      </w:r>
    </w:p>
    <w:p w:rsidR="009E719A" w:rsidRPr="00AF61B2" w:rsidRDefault="009E719A" w:rsidP="009E719A">
      <w:pPr>
        <w:pStyle w:val="ParaNoNdepar-AltN"/>
        <w:rPr>
          <w:lang w:val="fr-CA"/>
        </w:rPr>
      </w:pPr>
      <w:r w:rsidRPr="00AF61B2">
        <w:rPr>
          <w:lang w:val="fr-CA"/>
        </w:rPr>
        <w:t>Il</w:t>
      </w:r>
      <w:r w:rsidRPr="00AF61B2">
        <w:rPr>
          <w:lang w:val="fr-FR"/>
        </w:rPr>
        <w:t xml:space="preserve"> m’apparaît inutile d’expliciter l’arrêt </w:t>
      </w:r>
      <w:r w:rsidRPr="00AF61B2">
        <w:rPr>
          <w:i/>
          <w:lang w:val="fr-FR"/>
        </w:rPr>
        <w:t>Baker</w:t>
      </w:r>
      <w:r w:rsidRPr="00AF61B2">
        <w:rPr>
          <w:lang w:val="fr-FR"/>
        </w:rPr>
        <w:t xml:space="preserve"> en indiquant que les lacunes ou les vices dont seraient entachés les motifs appartiennent à la catégorie des manquements à l’obligation d’équité procédurale et qu’ils sont soumis à la norme de la décision correcte.  Je fais mienne la mise en garde du professeur Philip</w:t>
      </w:r>
      <w:r>
        <w:rPr>
          <w:lang w:val="fr-FR"/>
        </w:rPr>
        <w:t xml:space="preserve"> </w:t>
      </w:r>
      <w:r w:rsidRPr="00AF61B2">
        <w:rPr>
          <w:lang w:val="fr-FR"/>
        </w:rPr>
        <w:t>Bryden selon laquelle [</w:t>
      </w:r>
      <w:r w:rsidRPr="00AF61B2">
        <w:rPr>
          <w:smallCaps/>
          <w:lang w:val="fr-FR"/>
        </w:rPr>
        <w:t>traduction</w:t>
      </w:r>
      <w:r w:rsidRPr="00AF61B2">
        <w:rPr>
          <w:lang w:val="fr-FR"/>
        </w:rPr>
        <w:t xml:space="preserve">] « les cours de justice doivent se garder de confondre la conclusion que le raisonnement du tribunal n’est pas adéquatement exposé et le désaccord au sujet des conclusions tirées par le tribunal sur la base de la preuve dont il disposait » (« Standards of </w:t>
      </w:r>
      <w:proofErr w:type="spellStart"/>
      <w:r w:rsidRPr="00AF61B2">
        <w:rPr>
          <w:lang w:val="fr-FR"/>
        </w:rPr>
        <w:t>Review</w:t>
      </w:r>
      <w:proofErr w:type="spellEnd"/>
      <w:r w:rsidRPr="00AF61B2">
        <w:rPr>
          <w:lang w:val="fr-FR"/>
        </w:rPr>
        <w:t xml:space="preserve"> and </w:t>
      </w:r>
      <w:proofErr w:type="spellStart"/>
      <w:r w:rsidRPr="00AF61B2">
        <w:rPr>
          <w:lang w:val="fr-FR"/>
        </w:rPr>
        <w:t>Sufficiency</w:t>
      </w:r>
      <w:proofErr w:type="spellEnd"/>
      <w:r w:rsidRPr="00AF61B2">
        <w:rPr>
          <w:lang w:val="fr-FR"/>
        </w:rPr>
        <w:t xml:space="preserve"> of </w:t>
      </w:r>
      <w:proofErr w:type="spellStart"/>
      <w:r w:rsidRPr="00AF61B2">
        <w:rPr>
          <w:lang w:val="fr-FR"/>
        </w:rPr>
        <w:t>Reasons</w:t>
      </w:r>
      <w:proofErr w:type="spellEnd"/>
      <w:r w:rsidRPr="00AF61B2">
        <w:rPr>
          <w:lang w:val="fr-FR"/>
        </w:rPr>
        <w:t xml:space="preserve"> : </w:t>
      </w:r>
      <w:proofErr w:type="spellStart"/>
      <w:r w:rsidRPr="00AF61B2">
        <w:rPr>
          <w:lang w:val="fr-FR"/>
        </w:rPr>
        <w:t>Some</w:t>
      </w:r>
      <w:proofErr w:type="spellEnd"/>
      <w:r w:rsidRPr="00AF61B2">
        <w:rPr>
          <w:lang w:val="fr-FR"/>
        </w:rPr>
        <w:t xml:space="preserve"> </w:t>
      </w:r>
      <w:proofErr w:type="spellStart"/>
      <w:r w:rsidRPr="00AF61B2">
        <w:rPr>
          <w:lang w:val="fr-FR"/>
        </w:rPr>
        <w:t>Practical</w:t>
      </w:r>
      <w:proofErr w:type="spellEnd"/>
      <w:r w:rsidRPr="00AF61B2">
        <w:rPr>
          <w:lang w:val="fr-FR"/>
        </w:rPr>
        <w:t xml:space="preserve"> </w:t>
      </w:r>
      <w:proofErr w:type="spellStart"/>
      <w:r w:rsidRPr="00AF61B2">
        <w:rPr>
          <w:lang w:val="fr-FR"/>
        </w:rPr>
        <w:lastRenderedPageBreak/>
        <w:t>Considerations</w:t>
      </w:r>
      <w:proofErr w:type="spellEnd"/>
      <w:r w:rsidRPr="00AF61B2">
        <w:rPr>
          <w:lang w:val="fr-FR"/>
        </w:rPr>
        <w:t xml:space="preserve"> » (2006), 19 </w:t>
      </w:r>
      <w:r w:rsidRPr="00AF61B2">
        <w:rPr>
          <w:i/>
          <w:lang w:val="fr-FR"/>
        </w:rPr>
        <w:t xml:space="preserve">C.J.A.L.P. </w:t>
      </w:r>
      <w:r w:rsidRPr="00AF61B2">
        <w:rPr>
          <w:lang w:val="fr-CA"/>
        </w:rPr>
        <w:t xml:space="preserve">191, p. 217; voir aussi Grant </w:t>
      </w:r>
      <w:proofErr w:type="spellStart"/>
      <w:r w:rsidRPr="00AF61B2">
        <w:rPr>
          <w:lang w:val="fr-CA"/>
        </w:rPr>
        <w:t>Huscroft</w:t>
      </w:r>
      <w:proofErr w:type="spellEnd"/>
      <w:r w:rsidRPr="00AF61B2">
        <w:rPr>
          <w:lang w:val="fr-CA"/>
        </w:rPr>
        <w:t xml:space="preserve">, « The </w:t>
      </w:r>
      <w:proofErr w:type="spellStart"/>
      <w:r w:rsidRPr="00AF61B2">
        <w:rPr>
          <w:lang w:val="fr-CA"/>
        </w:rPr>
        <w:t>Duty</w:t>
      </w:r>
      <w:proofErr w:type="spellEnd"/>
      <w:r w:rsidRPr="00AF61B2">
        <w:rPr>
          <w:lang w:val="fr-CA"/>
        </w:rPr>
        <w:t xml:space="preserve"> of </w:t>
      </w:r>
      <w:proofErr w:type="spellStart"/>
      <w:r w:rsidRPr="00AF61B2">
        <w:rPr>
          <w:lang w:val="fr-CA"/>
        </w:rPr>
        <w:t>Fairness</w:t>
      </w:r>
      <w:proofErr w:type="spellEnd"/>
      <w:r w:rsidRPr="00AF61B2">
        <w:rPr>
          <w:lang w:val="fr-CA"/>
        </w:rPr>
        <w:t xml:space="preserve"> : </w:t>
      </w:r>
      <w:proofErr w:type="spellStart"/>
      <w:r w:rsidRPr="00AF61B2">
        <w:rPr>
          <w:lang w:val="fr-CA"/>
        </w:rPr>
        <w:t>From</w:t>
      </w:r>
      <w:proofErr w:type="spellEnd"/>
      <w:r w:rsidRPr="00AF61B2">
        <w:rPr>
          <w:lang w:val="fr-CA"/>
        </w:rPr>
        <w:t xml:space="preserve"> Nicholson to Baker and </w:t>
      </w:r>
      <w:proofErr w:type="spellStart"/>
      <w:r w:rsidRPr="00AF61B2">
        <w:rPr>
          <w:lang w:val="fr-CA"/>
        </w:rPr>
        <w:t>Beyond</w:t>
      </w:r>
      <w:proofErr w:type="spellEnd"/>
      <w:r w:rsidRPr="00AF61B2">
        <w:rPr>
          <w:lang w:val="fr-CA"/>
        </w:rPr>
        <w:t xml:space="preserve"> », dans </w:t>
      </w:r>
      <w:proofErr w:type="spellStart"/>
      <w:r w:rsidR="005E2D2F">
        <w:rPr>
          <w:lang w:val="fr-CA"/>
        </w:rPr>
        <w:t>Colleen</w:t>
      </w:r>
      <w:proofErr w:type="spellEnd"/>
      <w:r w:rsidR="005E2D2F">
        <w:rPr>
          <w:lang w:val="fr-CA"/>
        </w:rPr>
        <w:t> M. Flood et Lorne</w:t>
      </w:r>
      <w:r w:rsidRPr="00AF61B2">
        <w:rPr>
          <w:lang w:val="fr-CA"/>
        </w:rPr>
        <w:t> </w:t>
      </w:r>
      <w:proofErr w:type="spellStart"/>
      <w:r w:rsidRPr="00AF61B2">
        <w:rPr>
          <w:lang w:val="fr-CA"/>
        </w:rPr>
        <w:t>Sossin</w:t>
      </w:r>
      <w:proofErr w:type="spellEnd"/>
      <w:r w:rsidRPr="00AF61B2">
        <w:rPr>
          <w:lang w:val="fr-CA"/>
        </w:rPr>
        <w:t>,</w:t>
      </w:r>
      <w:r w:rsidR="005E2D2F">
        <w:rPr>
          <w:lang w:val="fr-CA"/>
        </w:rPr>
        <w:t xml:space="preserve"> </w:t>
      </w:r>
      <w:proofErr w:type="spellStart"/>
      <w:r w:rsidR="005E2D2F">
        <w:rPr>
          <w:lang w:val="fr-CA"/>
        </w:rPr>
        <w:t>dir</w:t>
      </w:r>
      <w:proofErr w:type="spellEnd"/>
      <w:r w:rsidRPr="00AF61B2">
        <w:rPr>
          <w:lang w:val="fr-CA"/>
        </w:rPr>
        <w:t xml:space="preserve">., </w:t>
      </w:r>
      <w:r w:rsidRPr="00AF61B2">
        <w:rPr>
          <w:i/>
          <w:lang w:val="fr-CA"/>
        </w:rPr>
        <w:t xml:space="preserve">Administrative Law in </w:t>
      </w:r>
      <w:proofErr w:type="spellStart"/>
      <w:r w:rsidRPr="00AF61B2">
        <w:rPr>
          <w:i/>
          <w:lang w:val="fr-CA"/>
        </w:rPr>
        <w:t>Context</w:t>
      </w:r>
      <w:proofErr w:type="spellEnd"/>
      <w:r w:rsidRPr="00AF61B2">
        <w:rPr>
          <w:lang w:val="fr-CA"/>
        </w:rPr>
        <w:t xml:space="preserve"> (2008), 115, p. 136).</w:t>
      </w:r>
    </w:p>
    <w:p w:rsidR="009E719A" w:rsidRPr="00AF61B2" w:rsidRDefault="009E719A" w:rsidP="009E719A">
      <w:pPr>
        <w:pStyle w:val="ParaNoNdepar-AltN"/>
        <w:rPr>
          <w:lang w:val="fr-CA"/>
        </w:rPr>
      </w:pPr>
      <w:r w:rsidRPr="00AF61B2">
        <w:rPr>
          <w:lang w:val="fr-CA"/>
        </w:rPr>
        <w:t xml:space="preserve"> Le </w:t>
      </w:r>
      <w:r w:rsidRPr="00AF61B2">
        <w:rPr>
          <w:lang w:val="fr-FR"/>
        </w:rPr>
        <w:t>manquement à une obligation d’équité procédurale constitue certes une erreur de droit.  Or, en l’absence de motifs dans des circonstances o</w:t>
      </w:r>
      <w:r w:rsidRPr="00AF61B2">
        <w:rPr>
          <w:rFonts w:cs="Times New Roman"/>
          <w:lang w:val="fr-FR"/>
        </w:rPr>
        <w:t>ù</w:t>
      </w:r>
      <w:r w:rsidRPr="00AF61B2">
        <w:rPr>
          <w:lang w:val="fr-FR"/>
        </w:rPr>
        <w:t xml:space="preserve"> ils s’imposent, il n’y a rien à contrôler.  Cependant, dans les cas où, comme en l’espèce, </w:t>
      </w:r>
      <w:r w:rsidRPr="00AF61B2">
        <w:rPr>
          <w:i/>
          <w:lang w:val="fr-FR"/>
        </w:rPr>
        <w:t>il y en a</w:t>
      </w:r>
      <w:r w:rsidRPr="00AF61B2">
        <w:rPr>
          <w:lang w:val="fr-FR"/>
        </w:rPr>
        <w:t xml:space="preserve">, on ne saurait conclure à un tel manquement.  Le raisonnement qui </w:t>
      </w:r>
      <w:proofErr w:type="spellStart"/>
      <w:r w:rsidRPr="00AF61B2">
        <w:rPr>
          <w:lang w:val="fr-FR"/>
        </w:rPr>
        <w:t>sous</w:t>
      </w:r>
      <w:r w:rsidRPr="00AF61B2">
        <w:rPr>
          <w:lang w:val="fr-FR"/>
        </w:rPr>
        <w:noBreakHyphen/>
        <w:t>tend</w:t>
      </w:r>
      <w:proofErr w:type="spellEnd"/>
      <w:r w:rsidRPr="00AF61B2">
        <w:rPr>
          <w:lang w:val="fr-FR"/>
        </w:rPr>
        <w:t xml:space="preserve"> la décision/le résultat ne peut donc être remis en question que dans le cadre de l’analyse du caractère raisonnable de </w:t>
      </w:r>
      <w:proofErr w:type="spellStart"/>
      <w:r w:rsidRPr="00AF61B2">
        <w:rPr>
          <w:lang w:val="fr-FR"/>
        </w:rPr>
        <w:t>celle</w:t>
      </w:r>
      <w:r w:rsidRPr="00AF61B2">
        <w:rPr>
          <w:lang w:val="fr-FR"/>
        </w:rPr>
        <w:noBreakHyphen/>
        <w:t>ci</w:t>
      </w:r>
      <w:proofErr w:type="spellEnd"/>
      <w:r w:rsidRPr="00AF61B2">
        <w:rPr>
          <w:lang w:val="fr-CA"/>
        </w:rPr>
        <w:t>.</w:t>
      </w:r>
    </w:p>
    <w:p w:rsidR="009E719A" w:rsidRPr="00AF61B2" w:rsidRDefault="009E719A" w:rsidP="009E719A">
      <w:pPr>
        <w:pStyle w:val="ParaNoNdepar-AltN"/>
        <w:rPr>
          <w:lang w:val="fr-CA"/>
        </w:rPr>
      </w:pPr>
      <w:r w:rsidRPr="00AF61B2">
        <w:rPr>
          <w:lang w:val="fr-FR"/>
        </w:rPr>
        <w:t xml:space="preserve">L’arbitre en l’espèce avait pour tâche de se livrer à un simple exercice d’interprétation : </w:t>
      </w:r>
      <w:r w:rsidRPr="00AF61B2">
        <w:rPr>
          <w:i/>
          <w:lang w:val="fr-FR"/>
        </w:rPr>
        <w:t xml:space="preserve">la convention collective </w:t>
      </w:r>
      <w:proofErr w:type="spellStart"/>
      <w:r w:rsidRPr="00AF61B2">
        <w:rPr>
          <w:i/>
          <w:lang w:val="fr-FR"/>
        </w:rPr>
        <w:t>accordait</w:t>
      </w:r>
      <w:r w:rsidRPr="00AF61B2">
        <w:rPr>
          <w:i/>
          <w:lang w:val="fr-FR"/>
        </w:rPr>
        <w:noBreakHyphen/>
        <w:t>elle</w:t>
      </w:r>
      <w:proofErr w:type="spellEnd"/>
      <w:r w:rsidRPr="00AF61B2">
        <w:rPr>
          <w:lang w:val="fr-FR"/>
        </w:rPr>
        <w:t xml:space="preserve"> aux employés occasionnels le droit d’accumuler des congés annuels payés?  Pour les arbitres en relations de travail, il s’agit d’un cas classique d’interprétation d’une convention collective.  Lorsqu’ils rendent des décisions, les arbitres s’adressent non pas aux cours de justice, mais aux parties, qui doivent se côtoyer pour la durée de la convention collective.  Bien que cela ne soit pas toujours facilement réalisable, le but est de rendre des décisions le plus rapide</w:t>
      </w:r>
      <w:r w:rsidR="003546DF">
        <w:rPr>
          <w:lang w:val="fr-FR"/>
        </w:rPr>
        <w:t>ment</w:t>
      </w:r>
      <w:r w:rsidRPr="00AF61B2">
        <w:rPr>
          <w:lang w:val="fr-FR"/>
        </w:rPr>
        <w:t xml:space="preserve"> </w:t>
      </w:r>
      <w:proofErr w:type="gramStart"/>
      <w:r w:rsidRPr="00AF61B2">
        <w:rPr>
          <w:lang w:val="fr-FR"/>
        </w:rPr>
        <w:t>possible</w:t>
      </w:r>
      <w:proofErr w:type="gramEnd"/>
      <w:r w:rsidRPr="00AF61B2">
        <w:rPr>
          <w:lang w:val="fr-CA"/>
        </w:rPr>
        <w:t xml:space="preserve">.  </w:t>
      </w:r>
    </w:p>
    <w:p w:rsidR="009E719A" w:rsidRPr="00AF61B2" w:rsidRDefault="009E719A" w:rsidP="009E719A">
      <w:pPr>
        <w:pStyle w:val="ParaNoNdepar-AltN"/>
        <w:rPr>
          <w:lang w:val="fr-CA"/>
        </w:rPr>
      </w:pPr>
      <w:r w:rsidRPr="00AF61B2">
        <w:rPr>
          <w:lang w:val="fr-CA"/>
        </w:rPr>
        <w:t>Comme l’a fait remarquer George W. Adams :</w:t>
      </w:r>
    </w:p>
    <w:p w:rsidR="009E719A" w:rsidRPr="00AF61B2" w:rsidRDefault="009E719A" w:rsidP="00441C89">
      <w:pPr>
        <w:pStyle w:val="Citation-AltC"/>
        <w:tabs>
          <w:tab w:val="left" w:pos="1620"/>
        </w:tabs>
        <w:spacing w:after="240"/>
        <w:ind w:hanging="1166"/>
        <w:contextualSpacing w:val="0"/>
        <w:rPr>
          <w:lang w:val="fr-CA"/>
        </w:rPr>
      </w:pPr>
      <w:r w:rsidRPr="00AF61B2">
        <w:rPr>
          <w:lang w:val="fr-FR"/>
        </w:rPr>
        <w:tab/>
      </w:r>
      <w:r w:rsidRPr="00AF61B2">
        <w:rPr>
          <w:lang w:val="fr-FR"/>
        </w:rPr>
        <w:tab/>
        <w:t>[</w:t>
      </w:r>
      <w:r w:rsidRPr="00AF61B2">
        <w:rPr>
          <w:smallCaps/>
          <w:lang w:val="fr-FR"/>
        </w:rPr>
        <w:t xml:space="preserve">traduction]  </w:t>
      </w:r>
      <w:r w:rsidRPr="00AF61B2">
        <w:rPr>
          <w:u w:val="single"/>
          <w:lang w:val="fr-FR"/>
        </w:rPr>
        <w:t>La célérité, l’économie et l’absence de formalisme</w:t>
      </w:r>
      <w:r w:rsidRPr="00AF61B2">
        <w:rPr>
          <w:lang w:val="fr-FR"/>
        </w:rPr>
        <w:t xml:space="preserve"> caractérisent l’arbitrage des griefs.  Il importe de régler rapidement les </w:t>
      </w:r>
      <w:r w:rsidRPr="00AF61B2">
        <w:rPr>
          <w:lang w:val="fr-FR"/>
        </w:rPr>
        <w:lastRenderedPageBreak/>
        <w:t>différends pour maintenir la paix industrielle et répondre aux besoins économiques permanents de l’entreprise.  Un traitement trop coûteux des griefs favorise les conflits de travail en empêchant la poursuite de griefs fondés qui, pris individuellement, portent sur de faibles sommes d’argent mais qui, collectivement, donnent une idée de la satisfaction des employés à l’égard des règles négociées.  Des règles beaucoup moins strictes en matière de procédure et de preuve que celles applicables aux instances judiciaires contribuent à l’absence relative de formalisme de l’arbitrage des griefs.  Or, cette absence de formalisme favorise la participation directe de profanes, accroît la connaissance qu’ont les parties du système et minimise les points de désaccord éventuels, ce qui donne à tous les intéressés l’occasion de se concentrer sur le fond d’un différend et les problèmes qui en sont la cause</w:t>
      </w:r>
      <w:r w:rsidR="00441C89">
        <w:rPr>
          <w:lang w:val="fr-CA"/>
        </w:rPr>
        <w:t>. . .</w:t>
      </w:r>
      <w:r w:rsidRPr="00AF61B2">
        <w:rPr>
          <w:lang w:val="fr-CA"/>
        </w:rPr>
        <w:t xml:space="preserve"> </w:t>
      </w:r>
    </w:p>
    <w:p w:rsidR="009E719A" w:rsidRPr="00AF61B2" w:rsidRDefault="009E719A" w:rsidP="00441C89">
      <w:pPr>
        <w:pStyle w:val="Citation-AltC"/>
        <w:tabs>
          <w:tab w:val="left" w:pos="1620"/>
        </w:tabs>
        <w:spacing w:after="240"/>
        <w:ind w:hanging="1166"/>
        <w:contextualSpacing w:val="0"/>
        <w:rPr>
          <w:lang w:val="fr-FR"/>
        </w:rPr>
      </w:pPr>
      <w:r w:rsidRPr="00AF61B2">
        <w:rPr>
          <w:lang w:val="fr-CA"/>
        </w:rPr>
        <w:tab/>
      </w:r>
      <w:r w:rsidRPr="00AF61B2">
        <w:rPr>
          <w:lang w:val="fr-CA"/>
        </w:rPr>
        <w:tab/>
        <w:t xml:space="preserve">. . . </w:t>
      </w:r>
      <w:r w:rsidRPr="00AF61B2">
        <w:rPr>
          <w:lang w:val="fr-FR"/>
        </w:rPr>
        <w:t xml:space="preserve">il peut être nécessaire de faire appel, par voie de contrôle judiciaire, à une autorité supérieure en vue de corriger des erreurs flagrantes, prévenir l’accroissement indu du pouvoir des arbitres et intégrer l’expertise restreinte de </w:t>
      </w:r>
      <w:proofErr w:type="spellStart"/>
      <w:r w:rsidRPr="00AF61B2">
        <w:rPr>
          <w:lang w:val="fr-FR"/>
        </w:rPr>
        <w:t>ceux</w:t>
      </w:r>
      <w:r w:rsidRPr="00AF61B2">
        <w:rPr>
          <w:lang w:val="fr-FR"/>
        </w:rPr>
        <w:noBreakHyphen/>
        <w:t>ci</w:t>
      </w:r>
      <w:proofErr w:type="spellEnd"/>
      <w:r w:rsidRPr="00AF61B2">
        <w:rPr>
          <w:lang w:val="fr-FR"/>
        </w:rPr>
        <w:t xml:space="preserve"> aux valeurs générales du système juridique.  L’existence même du contrôle judiciaire peut se révéler un obstacle salutaire à l’exercice irrégulier, par les arbitres, de leurs fonctions et de leur pouvoir discrétionnaire.  [Je souligne.]</w:t>
      </w:r>
    </w:p>
    <w:p w:rsidR="009E719A" w:rsidRPr="00AF61B2" w:rsidRDefault="009E719A" w:rsidP="009E719A">
      <w:pPr>
        <w:pStyle w:val="Citation-AltC"/>
        <w:ind w:hanging="1166"/>
        <w:rPr>
          <w:lang w:val="fr-CA"/>
        </w:rPr>
      </w:pPr>
      <w:r w:rsidRPr="00AF61B2">
        <w:rPr>
          <w:lang w:val="fr-CA"/>
        </w:rPr>
        <w:tab/>
      </w:r>
      <w:proofErr w:type="gramStart"/>
      <w:r w:rsidRPr="00441C89">
        <w:rPr>
          <w:lang w:val="en-US"/>
        </w:rPr>
        <w:t>(</w:t>
      </w:r>
      <w:r w:rsidRPr="00441C89">
        <w:rPr>
          <w:i/>
          <w:lang w:val="en-US"/>
        </w:rPr>
        <w:t xml:space="preserve">Canadian </w:t>
      </w:r>
      <w:proofErr w:type="spellStart"/>
      <w:r w:rsidRPr="00441C89">
        <w:rPr>
          <w:i/>
          <w:lang w:val="en-US"/>
        </w:rPr>
        <w:t>Labour</w:t>
      </w:r>
      <w:proofErr w:type="spellEnd"/>
      <w:r w:rsidRPr="00441C89">
        <w:rPr>
          <w:i/>
          <w:lang w:val="en-US"/>
        </w:rPr>
        <w:t xml:space="preserve"> Law</w:t>
      </w:r>
      <w:r w:rsidR="00441C89" w:rsidRPr="00441C89">
        <w:rPr>
          <w:lang w:val="en-US"/>
        </w:rPr>
        <w:t xml:space="preserve"> (2</w:t>
      </w:r>
      <w:r w:rsidR="00441C89" w:rsidRPr="00441C89">
        <w:rPr>
          <w:vertAlign w:val="superscript"/>
          <w:lang w:val="en-US"/>
        </w:rPr>
        <w:t>e</w:t>
      </w:r>
      <w:r w:rsidR="00441C89" w:rsidRPr="00441C89">
        <w:rPr>
          <w:lang w:val="en-US"/>
        </w:rPr>
        <w:t xml:space="preserve"> </w:t>
      </w:r>
      <w:proofErr w:type="spellStart"/>
      <w:r w:rsidR="00441C89" w:rsidRPr="00441C89">
        <w:rPr>
          <w:lang w:val="en-US"/>
        </w:rPr>
        <w:t>é</w:t>
      </w:r>
      <w:r w:rsidRPr="00441C89">
        <w:rPr>
          <w:lang w:val="en-US"/>
        </w:rPr>
        <w:t>d</w:t>
      </w:r>
      <w:proofErr w:type="spellEnd"/>
      <w:r w:rsidRPr="00441C89">
        <w:rPr>
          <w:lang w:val="en-US"/>
        </w:rPr>
        <w:t>.</w:t>
      </w:r>
      <w:proofErr w:type="gramEnd"/>
      <w:r w:rsidRPr="00441C89">
        <w:rPr>
          <w:lang w:val="en-US"/>
        </w:rPr>
        <w:t xml:space="preserve"> </w:t>
      </w:r>
      <w:r w:rsidR="0081284C">
        <w:rPr>
          <w:lang w:val="fr-CA"/>
        </w:rPr>
        <w:t>(</w:t>
      </w:r>
      <w:proofErr w:type="gramStart"/>
      <w:r w:rsidR="0081284C">
        <w:rPr>
          <w:lang w:val="fr-CA"/>
        </w:rPr>
        <w:t>feuilles</w:t>
      </w:r>
      <w:proofErr w:type="gramEnd"/>
      <w:r w:rsidR="0081284C">
        <w:rPr>
          <w:lang w:val="fr-CA"/>
        </w:rPr>
        <w:t xml:space="preserve"> mobiles)),</w:t>
      </w:r>
      <w:r w:rsidR="00E6639C">
        <w:rPr>
          <w:lang w:val="fr-CA"/>
        </w:rPr>
        <w:t xml:space="preserve"> vol. 1,</w:t>
      </w:r>
      <w:r w:rsidR="00441C89">
        <w:rPr>
          <w:lang w:val="fr-CA"/>
        </w:rPr>
        <w:t xml:space="preserve"> §§</w:t>
      </w:r>
      <w:r w:rsidRPr="00AF61B2">
        <w:rPr>
          <w:lang w:val="fr-CA"/>
        </w:rPr>
        <w:t>4.1100 à 4.1110)</w:t>
      </w:r>
    </w:p>
    <w:p w:rsidR="009E719A" w:rsidRPr="00AF61B2" w:rsidRDefault="009E719A" w:rsidP="009E719A">
      <w:pPr>
        <w:pStyle w:val="ParaNoNdepar-AltN"/>
        <w:rPr>
          <w:lang w:val="fr-CA"/>
        </w:rPr>
      </w:pPr>
      <w:r w:rsidRPr="00AF61B2">
        <w:rPr>
          <w:lang w:val="fr-CA"/>
        </w:rPr>
        <w:t>L’arbitrage</w:t>
      </w:r>
      <w:r w:rsidRPr="00AF61B2">
        <w:rPr>
          <w:lang w:val="fr-FR"/>
        </w:rPr>
        <w:t xml:space="preserve"> permet aux parties à la convention collective de régler leurs différends dans les plus brefs délais, tout en sachant que la solution de rechange consiste non pas à se pourvoir en contrôle judiciaire, mais à négocier dans deux ou trois ans une nouvelle convention collective contenant des modalités différentes.  </w:t>
      </w:r>
      <w:r w:rsidRPr="00AF61B2">
        <w:rPr>
          <w:lang w:val="fr-CA"/>
        </w:rPr>
        <w:t>Ce processus serait paralysé si l’on exigeait des arbitres qu’ils répondent à tous les arguments ou modes possibles d’analyse.</w:t>
      </w:r>
    </w:p>
    <w:p w:rsidR="009E719A" w:rsidRPr="00AF61B2" w:rsidRDefault="009E719A" w:rsidP="009E719A">
      <w:pPr>
        <w:pStyle w:val="ParaNoNdepar-AltN"/>
        <w:rPr>
          <w:lang w:val="fr-CA"/>
        </w:rPr>
      </w:pPr>
      <w:r w:rsidRPr="00AF61B2">
        <w:rPr>
          <w:lang w:val="fr-FR"/>
        </w:rPr>
        <w:t>En l’espèce, il ressort des motifs que l’arbitre avait bien saisi la question en litige et qu’il est parvenu à un résultat faisant sans aucun doute partie des issues possibles raisonnables.  Je suis d’avis de rejeter le pourvoi avec dépens</w:t>
      </w:r>
      <w:r w:rsidRPr="00AF61B2">
        <w:rPr>
          <w:lang w:val="fr-CA"/>
        </w:rPr>
        <w:t>.</w:t>
      </w:r>
    </w:p>
    <w:p w:rsidR="0033393C" w:rsidRPr="00000CE8" w:rsidRDefault="0033393C" w:rsidP="00042B97">
      <w:pPr>
        <w:pStyle w:val="SCCNormalDoubleSpacing"/>
        <w:spacing w:after="480"/>
      </w:pPr>
      <w:r w:rsidRPr="00000CE8">
        <w:lastRenderedPageBreak/>
        <w:tab/>
      </w:r>
      <w:r w:rsidR="004A79B6" w:rsidRPr="00000CE8">
        <w:rPr>
          <w:i/>
        </w:rPr>
        <w:t xml:space="preserve">Pourvoi </w:t>
      </w:r>
      <w:r w:rsidR="00767A2A" w:rsidRPr="00000CE8">
        <w:rPr>
          <w:i/>
        </w:rPr>
        <w:t>rejeté</w:t>
      </w:r>
      <w:r w:rsidR="005F598B" w:rsidRPr="00000CE8">
        <w:rPr>
          <w:i/>
        </w:rPr>
        <w:t xml:space="preserve"> avec dépens</w:t>
      </w:r>
      <w:r w:rsidR="004A79B6" w:rsidRPr="00000CE8">
        <w:rPr>
          <w:i/>
        </w:rPr>
        <w:t>.</w:t>
      </w:r>
    </w:p>
    <w:p w:rsidR="004A79B6" w:rsidRPr="00000CE8" w:rsidRDefault="004A79B6" w:rsidP="00042B97">
      <w:pPr>
        <w:pStyle w:val="SCCLawFirm"/>
        <w:spacing w:after="480"/>
      </w:pPr>
      <w:r w:rsidRPr="00000CE8">
        <w:tab/>
        <w:t>Procureur de l’appelant</w:t>
      </w:r>
      <w:r w:rsidR="00995DF4">
        <w:t>e</w:t>
      </w:r>
      <w:r w:rsidR="00000CE8">
        <w:t> :</w:t>
      </w:r>
      <w:r w:rsidR="00262C74" w:rsidRPr="00000CE8">
        <w:t> David </w:t>
      </w:r>
      <w:r w:rsidR="00042B97" w:rsidRPr="00000CE8">
        <w:t xml:space="preserve">G. </w:t>
      </w:r>
      <w:proofErr w:type="spellStart"/>
      <w:r w:rsidR="00042B97" w:rsidRPr="00000CE8">
        <w:t>Conway</w:t>
      </w:r>
      <w:proofErr w:type="spellEnd"/>
      <w:r w:rsidR="00042B97" w:rsidRPr="00000CE8">
        <w:t>, St. </w:t>
      </w:r>
      <w:r w:rsidRPr="00000CE8">
        <w:t>John’s.</w:t>
      </w:r>
    </w:p>
    <w:p w:rsidR="0043088E" w:rsidRPr="00000CE8" w:rsidRDefault="004A79B6" w:rsidP="009E719A">
      <w:pPr>
        <w:pStyle w:val="SCCLawFirm"/>
        <w:rPr>
          <w:lang w:val="en-US"/>
        </w:rPr>
      </w:pPr>
      <w:r w:rsidRPr="00000CE8">
        <w:tab/>
        <w:t>Procureurs de</w:t>
      </w:r>
      <w:r w:rsidR="000639A6" w:rsidRPr="00000CE8">
        <w:t>s</w:t>
      </w:r>
      <w:r w:rsidRPr="00000CE8">
        <w:t xml:space="preserve"> intimée</w:t>
      </w:r>
      <w:r w:rsidR="000639A6" w:rsidRPr="00000CE8">
        <w:t>s</w:t>
      </w:r>
      <w:r w:rsidR="00000CE8">
        <w:t> :</w:t>
      </w:r>
      <w:r w:rsidR="00262C74" w:rsidRPr="00000CE8">
        <w:t> </w:t>
      </w:r>
      <w:r w:rsidR="00042B97" w:rsidRPr="00000CE8">
        <w:t xml:space="preserve">Stewart </w:t>
      </w:r>
      <w:proofErr w:type="spellStart"/>
      <w:r w:rsidR="00042B97" w:rsidRPr="00000CE8">
        <w:t>McKelvey</w:t>
      </w:r>
      <w:proofErr w:type="spellEnd"/>
      <w:r w:rsidR="00042B97" w:rsidRPr="00000CE8">
        <w:t>, St. </w:t>
      </w:r>
      <w:r w:rsidRPr="00000CE8">
        <w:t>John’s.</w:t>
      </w:r>
      <w:r w:rsidR="009E719A" w:rsidRPr="00000CE8">
        <w:rPr>
          <w:lang w:val="en-US"/>
        </w:rPr>
        <w:t xml:space="preserve"> </w:t>
      </w:r>
    </w:p>
    <w:sectPr w:rsidR="0043088E" w:rsidRPr="00000CE8" w:rsidSect="006C1C97">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C89" w:rsidRDefault="00441C89">
      <w:r>
        <w:separator/>
      </w:r>
    </w:p>
  </w:endnote>
  <w:endnote w:type="continuationSeparator" w:id="0">
    <w:p w:rsidR="00441C89" w:rsidRDefault="00441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89" w:rsidRDefault="00441C89">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89" w:rsidRDefault="00441C89">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C89" w:rsidRDefault="00441C89">
      <w:r>
        <w:separator/>
      </w:r>
    </w:p>
  </w:footnote>
  <w:footnote w:type="continuationSeparator" w:id="0">
    <w:p w:rsidR="00441C89" w:rsidRDefault="00441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89" w:rsidRDefault="00441C89">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3959"/>
      <w:docPartObj>
        <w:docPartGallery w:val="Page Numbers (Top of Page)"/>
        <w:docPartUnique/>
      </w:docPartObj>
    </w:sdtPr>
    <w:sdtContent>
      <w:p w:rsidR="006C1C97" w:rsidRDefault="006C1C97">
        <w:pPr>
          <w:pStyle w:val="Header"/>
          <w:jc w:val="center"/>
        </w:pPr>
        <w:r>
          <w:t xml:space="preserve">- </w:t>
        </w:r>
        <w:fldSimple w:instr=" PAGE   \* MERGEFORMAT ">
          <w:r w:rsidR="004A3C81">
            <w:rPr>
              <w:noProof/>
            </w:rPr>
            <w:t>2</w:t>
          </w:r>
        </w:fldSimple>
        <w:r>
          <w:t xml:space="preserve"> -</w:t>
        </w:r>
      </w:p>
    </w:sdtContent>
  </w:sdt>
  <w:p w:rsidR="006C1C97" w:rsidRDefault="006C1C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3665"/>
  </w:hdrShapeDefaults>
  <w:footnotePr>
    <w:footnote w:id="-1"/>
    <w:footnote w:id="0"/>
  </w:footnotePr>
  <w:endnotePr>
    <w:endnote w:id="-1"/>
    <w:endnote w:id="0"/>
  </w:endnotePr>
  <w:compat/>
  <w:rsids>
    <w:rsidRoot w:val="0031414C"/>
    <w:rsid w:val="00000CE8"/>
    <w:rsid w:val="0000250F"/>
    <w:rsid w:val="00025198"/>
    <w:rsid w:val="00042B97"/>
    <w:rsid w:val="00047ABE"/>
    <w:rsid w:val="00055A36"/>
    <w:rsid w:val="000578A3"/>
    <w:rsid w:val="000639A6"/>
    <w:rsid w:val="00064563"/>
    <w:rsid w:val="000648CC"/>
    <w:rsid w:val="00094DE0"/>
    <w:rsid w:val="000A02DB"/>
    <w:rsid w:val="000A5321"/>
    <w:rsid w:val="000B2711"/>
    <w:rsid w:val="000C2493"/>
    <w:rsid w:val="000C59B8"/>
    <w:rsid w:val="00111DE2"/>
    <w:rsid w:val="00116B38"/>
    <w:rsid w:val="0013109F"/>
    <w:rsid w:val="00135406"/>
    <w:rsid w:val="00135972"/>
    <w:rsid w:val="00140667"/>
    <w:rsid w:val="001426A9"/>
    <w:rsid w:val="00154D7C"/>
    <w:rsid w:val="001570B0"/>
    <w:rsid w:val="001724E4"/>
    <w:rsid w:val="00172A04"/>
    <w:rsid w:val="00175A97"/>
    <w:rsid w:val="00185394"/>
    <w:rsid w:val="001A451D"/>
    <w:rsid w:val="001B33E0"/>
    <w:rsid w:val="001B4573"/>
    <w:rsid w:val="001C779F"/>
    <w:rsid w:val="001D0F1E"/>
    <w:rsid w:val="001D2AC1"/>
    <w:rsid w:val="001E28FE"/>
    <w:rsid w:val="001E7377"/>
    <w:rsid w:val="001F3944"/>
    <w:rsid w:val="001F7673"/>
    <w:rsid w:val="00220FC2"/>
    <w:rsid w:val="00224FC0"/>
    <w:rsid w:val="00225EA4"/>
    <w:rsid w:val="00226549"/>
    <w:rsid w:val="00226EAF"/>
    <w:rsid w:val="00231F3A"/>
    <w:rsid w:val="002406EE"/>
    <w:rsid w:val="00262C74"/>
    <w:rsid w:val="00274368"/>
    <w:rsid w:val="002745CC"/>
    <w:rsid w:val="00293834"/>
    <w:rsid w:val="002B3CAC"/>
    <w:rsid w:val="002B4C37"/>
    <w:rsid w:val="002C6399"/>
    <w:rsid w:val="002C6E88"/>
    <w:rsid w:val="002D39A4"/>
    <w:rsid w:val="002E6705"/>
    <w:rsid w:val="002F696C"/>
    <w:rsid w:val="0030069F"/>
    <w:rsid w:val="0030329A"/>
    <w:rsid w:val="00307AFD"/>
    <w:rsid w:val="0031086F"/>
    <w:rsid w:val="00310E05"/>
    <w:rsid w:val="0031414C"/>
    <w:rsid w:val="00314E01"/>
    <w:rsid w:val="0032089D"/>
    <w:rsid w:val="0033393C"/>
    <w:rsid w:val="00342ED7"/>
    <w:rsid w:val="00345F15"/>
    <w:rsid w:val="0034770C"/>
    <w:rsid w:val="0035259D"/>
    <w:rsid w:val="003546DF"/>
    <w:rsid w:val="0036142E"/>
    <w:rsid w:val="003866EC"/>
    <w:rsid w:val="003871D2"/>
    <w:rsid w:val="00394476"/>
    <w:rsid w:val="003A4C70"/>
    <w:rsid w:val="003A4E15"/>
    <w:rsid w:val="003C324D"/>
    <w:rsid w:val="003C799C"/>
    <w:rsid w:val="003E1C71"/>
    <w:rsid w:val="003F2EC2"/>
    <w:rsid w:val="003F327B"/>
    <w:rsid w:val="004059A6"/>
    <w:rsid w:val="004059A7"/>
    <w:rsid w:val="00406166"/>
    <w:rsid w:val="00411300"/>
    <w:rsid w:val="00412FC1"/>
    <w:rsid w:val="00426659"/>
    <w:rsid w:val="0043088E"/>
    <w:rsid w:val="00441C89"/>
    <w:rsid w:val="004439D8"/>
    <w:rsid w:val="00457BBF"/>
    <w:rsid w:val="00465132"/>
    <w:rsid w:val="00480C90"/>
    <w:rsid w:val="0048396F"/>
    <w:rsid w:val="0048482F"/>
    <w:rsid w:val="00493C18"/>
    <w:rsid w:val="00494CDC"/>
    <w:rsid w:val="004A3C81"/>
    <w:rsid w:val="004A600C"/>
    <w:rsid w:val="004A65AC"/>
    <w:rsid w:val="004A79B6"/>
    <w:rsid w:val="004C478D"/>
    <w:rsid w:val="004E6A2C"/>
    <w:rsid w:val="00521AE8"/>
    <w:rsid w:val="00527180"/>
    <w:rsid w:val="00536719"/>
    <w:rsid w:val="005564A7"/>
    <w:rsid w:val="0057621E"/>
    <w:rsid w:val="00587E45"/>
    <w:rsid w:val="005920F6"/>
    <w:rsid w:val="005B5112"/>
    <w:rsid w:val="005E2D2F"/>
    <w:rsid w:val="005E4698"/>
    <w:rsid w:val="005F5870"/>
    <w:rsid w:val="005F598B"/>
    <w:rsid w:val="00602606"/>
    <w:rsid w:val="00625C35"/>
    <w:rsid w:val="00634E1B"/>
    <w:rsid w:val="00645057"/>
    <w:rsid w:val="00646D5C"/>
    <w:rsid w:val="00654858"/>
    <w:rsid w:val="006565F4"/>
    <w:rsid w:val="00681AD1"/>
    <w:rsid w:val="006A24E1"/>
    <w:rsid w:val="006A56F1"/>
    <w:rsid w:val="006B32E2"/>
    <w:rsid w:val="006B5FF5"/>
    <w:rsid w:val="006C1C97"/>
    <w:rsid w:val="006C5661"/>
    <w:rsid w:val="006C6AE8"/>
    <w:rsid w:val="006D4790"/>
    <w:rsid w:val="006E0603"/>
    <w:rsid w:val="00701759"/>
    <w:rsid w:val="00702C6F"/>
    <w:rsid w:val="00746D21"/>
    <w:rsid w:val="00747288"/>
    <w:rsid w:val="00747DD3"/>
    <w:rsid w:val="00752F4E"/>
    <w:rsid w:val="007549C8"/>
    <w:rsid w:val="00762D30"/>
    <w:rsid w:val="00763377"/>
    <w:rsid w:val="00766BDD"/>
    <w:rsid w:val="00766D14"/>
    <w:rsid w:val="00767A0F"/>
    <w:rsid w:val="00767A2A"/>
    <w:rsid w:val="007834A8"/>
    <w:rsid w:val="007A05F6"/>
    <w:rsid w:val="007A5B6E"/>
    <w:rsid w:val="007A5F55"/>
    <w:rsid w:val="007B6F4A"/>
    <w:rsid w:val="007E1C47"/>
    <w:rsid w:val="007E337A"/>
    <w:rsid w:val="007E5C70"/>
    <w:rsid w:val="007F2FF5"/>
    <w:rsid w:val="0081284C"/>
    <w:rsid w:val="00817190"/>
    <w:rsid w:val="008322BD"/>
    <w:rsid w:val="008519C7"/>
    <w:rsid w:val="00855307"/>
    <w:rsid w:val="00862CF3"/>
    <w:rsid w:val="00864CF8"/>
    <w:rsid w:val="00872B74"/>
    <w:rsid w:val="00874914"/>
    <w:rsid w:val="00892E1A"/>
    <w:rsid w:val="008958F5"/>
    <w:rsid w:val="008A6558"/>
    <w:rsid w:val="008A727C"/>
    <w:rsid w:val="008C01DA"/>
    <w:rsid w:val="008D13A4"/>
    <w:rsid w:val="008F16D9"/>
    <w:rsid w:val="008F78E9"/>
    <w:rsid w:val="0090208C"/>
    <w:rsid w:val="00902462"/>
    <w:rsid w:val="00906CB2"/>
    <w:rsid w:val="00912039"/>
    <w:rsid w:val="0092221C"/>
    <w:rsid w:val="009313C0"/>
    <w:rsid w:val="009403F3"/>
    <w:rsid w:val="00957FA2"/>
    <w:rsid w:val="00966913"/>
    <w:rsid w:val="00967374"/>
    <w:rsid w:val="00970998"/>
    <w:rsid w:val="0097543E"/>
    <w:rsid w:val="00981187"/>
    <w:rsid w:val="00983F3F"/>
    <w:rsid w:val="00985C69"/>
    <w:rsid w:val="0099079B"/>
    <w:rsid w:val="00995DF4"/>
    <w:rsid w:val="009A325D"/>
    <w:rsid w:val="009B2F23"/>
    <w:rsid w:val="009B53E2"/>
    <w:rsid w:val="009B57B3"/>
    <w:rsid w:val="009D5AEB"/>
    <w:rsid w:val="009E719A"/>
    <w:rsid w:val="009F383F"/>
    <w:rsid w:val="009F5CAD"/>
    <w:rsid w:val="009F7B53"/>
    <w:rsid w:val="00A05F0E"/>
    <w:rsid w:val="00A07772"/>
    <w:rsid w:val="00A21107"/>
    <w:rsid w:val="00A21B90"/>
    <w:rsid w:val="00A24E15"/>
    <w:rsid w:val="00A27558"/>
    <w:rsid w:val="00A548CB"/>
    <w:rsid w:val="00A6242E"/>
    <w:rsid w:val="00A643E7"/>
    <w:rsid w:val="00A73C38"/>
    <w:rsid w:val="00A83857"/>
    <w:rsid w:val="00AC1BA9"/>
    <w:rsid w:val="00AC6322"/>
    <w:rsid w:val="00AC7437"/>
    <w:rsid w:val="00AC7A44"/>
    <w:rsid w:val="00AF03C5"/>
    <w:rsid w:val="00B000D8"/>
    <w:rsid w:val="00B00F75"/>
    <w:rsid w:val="00B145B6"/>
    <w:rsid w:val="00B30A7E"/>
    <w:rsid w:val="00B34DEF"/>
    <w:rsid w:val="00B50C81"/>
    <w:rsid w:val="00B557F8"/>
    <w:rsid w:val="00B64972"/>
    <w:rsid w:val="00B66DD8"/>
    <w:rsid w:val="00B70F5B"/>
    <w:rsid w:val="00B8145D"/>
    <w:rsid w:val="00B815FC"/>
    <w:rsid w:val="00B93FBC"/>
    <w:rsid w:val="00BB3F96"/>
    <w:rsid w:val="00BD186B"/>
    <w:rsid w:val="00C02092"/>
    <w:rsid w:val="00C057F7"/>
    <w:rsid w:val="00C0663B"/>
    <w:rsid w:val="00C24C8C"/>
    <w:rsid w:val="00C24D91"/>
    <w:rsid w:val="00C34C4F"/>
    <w:rsid w:val="00C35808"/>
    <w:rsid w:val="00C52532"/>
    <w:rsid w:val="00C53F14"/>
    <w:rsid w:val="00C55C2E"/>
    <w:rsid w:val="00C600CF"/>
    <w:rsid w:val="00C6084F"/>
    <w:rsid w:val="00C62A66"/>
    <w:rsid w:val="00C62A6F"/>
    <w:rsid w:val="00C65949"/>
    <w:rsid w:val="00C67CA5"/>
    <w:rsid w:val="00C71458"/>
    <w:rsid w:val="00C71F58"/>
    <w:rsid w:val="00C766FC"/>
    <w:rsid w:val="00C77613"/>
    <w:rsid w:val="00C828E7"/>
    <w:rsid w:val="00C90C88"/>
    <w:rsid w:val="00C921DD"/>
    <w:rsid w:val="00CA4D82"/>
    <w:rsid w:val="00CA6391"/>
    <w:rsid w:val="00CB2627"/>
    <w:rsid w:val="00CB73EF"/>
    <w:rsid w:val="00CE3171"/>
    <w:rsid w:val="00CF1601"/>
    <w:rsid w:val="00D32086"/>
    <w:rsid w:val="00D3365C"/>
    <w:rsid w:val="00D37A3F"/>
    <w:rsid w:val="00D45FCF"/>
    <w:rsid w:val="00D4667A"/>
    <w:rsid w:val="00D510BB"/>
    <w:rsid w:val="00D5435D"/>
    <w:rsid w:val="00D74F2E"/>
    <w:rsid w:val="00D8491C"/>
    <w:rsid w:val="00DA0590"/>
    <w:rsid w:val="00DC1788"/>
    <w:rsid w:val="00DF006D"/>
    <w:rsid w:val="00DF06C4"/>
    <w:rsid w:val="00DF0CA8"/>
    <w:rsid w:val="00DF49A7"/>
    <w:rsid w:val="00E01106"/>
    <w:rsid w:val="00E04DEA"/>
    <w:rsid w:val="00E07EE2"/>
    <w:rsid w:val="00E1110A"/>
    <w:rsid w:val="00E20A89"/>
    <w:rsid w:val="00E24573"/>
    <w:rsid w:val="00E377A1"/>
    <w:rsid w:val="00E43F1A"/>
    <w:rsid w:val="00E45109"/>
    <w:rsid w:val="00E54B02"/>
    <w:rsid w:val="00E6639C"/>
    <w:rsid w:val="00E7632A"/>
    <w:rsid w:val="00E904BD"/>
    <w:rsid w:val="00E935C0"/>
    <w:rsid w:val="00E94206"/>
    <w:rsid w:val="00E97830"/>
    <w:rsid w:val="00EA03E5"/>
    <w:rsid w:val="00EA41F9"/>
    <w:rsid w:val="00EB397A"/>
    <w:rsid w:val="00EC0DF1"/>
    <w:rsid w:val="00EE0FAF"/>
    <w:rsid w:val="00F00EB7"/>
    <w:rsid w:val="00F12EA7"/>
    <w:rsid w:val="00F2258E"/>
    <w:rsid w:val="00F33658"/>
    <w:rsid w:val="00F36AB6"/>
    <w:rsid w:val="00F409CE"/>
    <w:rsid w:val="00F516BB"/>
    <w:rsid w:val="00F62C70"/>
    <w:rsid w:val="00F7009D"/>
    <w:rsid w:val="00F84DF4"/>
    <w:rsid w:val="00F853FB"/>
    <w:rsid w:val="00F85C97"/>
    <w:rsid w:val="00FA2FE1"/>
    <w:rsid w:val="00FC606D"/>
    <w:rsid w:val="00FD068D"/>
    <w:rsid w:val="00FD4F28"/>
    <w:rsid w:val="00FE4B4D"/>
    <w:rsid w:val="00FE6784"/>
    <w:rsid w:val="00FF3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5D"/>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table" w:styleId="TableGrid">
    <w:name w:val="Table Grid"/>
    <w:basedOn w:val="TableNormal"/>
    <w:uiPriority w:val="59"/>
    <w:rsid w:val="009E71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E719A"/>
    <w:pPr>
      <w:spacing w:after="720"/>
      <w:ind w:left="1166"/>
      <w:contextualSpacing/>
      <w:jc w:val="both"/>
    </w:pPr>
    <w:rPr>
      <w:sz w:val="24"/>
    </w:rPr>
  </w:style>
  <w:style w:type="paragraph" w:customStyle="1" w:styleId="JudgeJuge">
    <w:name w:val="Judge / Juge"/>
    <w:uiPriority w:val="3"/>
    <w:rsid w:val="009E719A"/>
    <w:pPr>
      <w:tabs>
        <w:tab w:val="left" w:pos="1166"/>
      </w:tabs>
      <w:spacing w:after="480" w:line="480" w:lineRule="auto"/>
    </w:pPr>
    <w:rPr>
      <w:smallCaps/>
      <w:sz w:val="24"/>
    </w:rPr>
  </w:style>
  <w:style w:type="paragraph" w:customStyle="1" w:styleId="ParaNoNdepar-AltN">
    <w:name w:val="Para. No. / Nº de par. - Alt N"/>
    <w:qFormat/>
    <w:rsid w:val="009E719A"/>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9E719A"/>
    <w:pPr>
      <w:tabs>
        <w:tab w:val="left" w:pos="360"/>
      </w:tabs>
      <w:spacing w:before="480" w:after="720"/>
      <w:ind w:left="360" w:hanging="360"/>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0F76-03DC-4F78-8349-0106391B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4265</Words>
  <Characters>22529</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2011-12-15T13:23:00Z</dcterms:created>
  <dcterms:modified xsi:type="dcterms:W3CDTF">2012-03-06T21:27:00Z</dcterms:modified>
</cp:coreProperties>
</file>