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31" w:rsidRDefault="00DC4131" w:rsidP="00DC4131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408796658" r:id="rId8"/>
        </w:object>
      </w:r>
      <w:r>
        <w:t xml:space="preserve"> </w:t>
      </w:r>
      <w:r>
        <w:ptab w:relativeTo="margin" w:alignment="right" w:leader="none"/>
      </w:r>
    </w:p>
    <w:p w:rsidR="00DC4131" w:rsidRDefault="00DC4131" w:rsidP="00DC4131">
      <w:pPr>
        <w:pStyle w:val="Header"/>
      </w:pPr>
    </w:p>
    <w:p w:rsidR="00DC4131" w:rsidRPr="001E12E2" w:rsidRDefault="00DC4131" w:rsidP="00DC4131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DC4131" w:rsidRDefault="00DC4131" w:rsidP="00DC4131">
      <w:pPr>
        <w:pStyle w:val="Header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DC4131" w:rsidRPr="001E12E2" w:rsidTr="00563911">
        <w:trPr>
          <w:cantSplit/>
        </w:trPr>
        <w:tc>
          <w:tcPr>
            <w:tcW w:w="6768" w:type="dxa"/>
          </w:tcPr>
          <w:p w:rsidR="00DC4131" w:rsidRDefault="00DC4131" w:rsidP="00563911">
            <w:pPr>
              <w:rPr>
                <w:rStyle w:val="SCCRespondentForIndexChar"/>
                <w:rFonts w:eastAsiaTheme="minorHAnsi"/>
                <w:b w:val="0"/>
              </w:rPr>
            </w:pPr>
            <w:r w:rsidRPr="00035043">
              <w:rPr>
                <w:b/>
                <w:smallCaps/>
              </w:rPr>
              <w:t xml:space="preserve">Référence </w:t>
            </w:r>
            <w:proofErr w:type="gramStart"/>
            <w:r w:rsidRPr="00035043">
              <w:rPr>
                <w:b/>
              </w:rPr>
              <w:t>:</w:t>
            </w:r>
            <w:r w:rsidRPr="00035043">
              <w:t xml:space="preserve">  </w:t>
            </w:r>
            <w:r>
              <w:t>Banque</w:t>
            </w:r>
            <w:proofErr w:type="gramEnd"/>
            <w:r>
              <w:t xml:space="preserve"> Toronto-Dominion</w:t>
            </w:r>
            <w:r w:rsidRPr="00035043">
              <w:rPr>
                <w:rStyle w:val="SCCAppellantForIndexChar"/>
                <w:rFonts w:eastAsiaTheme="minorHAnsi"/>
              </w:rPr>
              <w:t xml:space="preserve"> </w:t>
            </w:r>
            <w:r w:rsidRPr="00035043">
              <w:rPr>
                <w:i/>
              </w:rPr>
              <w:t>c.</w:t>
            </w:r>
            <w:r w:rsidRPr="00035043">
              <w:t xml:space="preserve"> </w:t>
            </w:r>
            <w:r>
              <w:t>Canada</w:t>
            </w:r>
            <w:r w:rsidRPr="00035043">
              <w:rPr>
                <w:rStyle w:val="SCCRespondentForIndexChar"/>
                <w:rFonts w:eastAsiaTheme="minorHAnsi"/>
              </w:rPr>
              <w:t>,</w:t>
            </w:r>
          </w:p>
          <w:p w:rsidR="00DC4131" w:rsidRPr="00DC4131" w:rsidRDefault="00DC4131" w:rsidP="00563911">
            <w:pPr>
              <w:rPr>
                <w:b/>
              </w:rPr>
            </w:pPr>
            <w:r w:rsidRPr="00DC4131">
              <w:rPr>
                <w:rStyle w:val="SCCRespondentForIndexChar"/>
                <w:rFonts w:eastAsiaTheme="minorHAnsi"/>
                <w:b w:val="0"/>
              </w:rPr>
              <w:t>2012 CSC 1, [2012] 1 R.C.S. 3</w:t>
            </w:r>
          </w:p>
        </w:tc>
        <w:tc>
          <w:tcPr>
            <w:tcW w:w="2808" w:type="dxa"/>
          </w:tcPr>
          <w:p w:rsidR="00DC4131" w:rsidRPr="001E12E2" w:rsidRDefault="00DC4131" w:rsidP="00563911">
            <w:r w:rsidRPr="001E12E2">
              <w:rPr>
                <w:b/>
                <w:smallCaps/>
              </w:rPr>
              <w:t xml:space="preserve">Date </w:t>
            </w:r>
            <w:r w:rsidRPr="001E12E2">
              <w:t xml:space="preserve">: </w:t>
            </w:r>
            <w:r>
              <w:t>20120112</w:t>
            </w:r>
          </w:p>
          <w:p w:rsidR="00DC4131" w:rsidRPr="001E12E2" w:rsidRDefault="00DC4131" w:rsidP="00563911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</w:t>
            </w:r>
            <w:r w:rsidRPr="001E12E2">
              <w:rPr>
                <w:b/>
                <w:smallCaps/>
              </w:rPr>
              <w:t xml:space="preserve"> </w:t>
            </w:r>
            <w:r w:rsidRPr="001E12E2">
              <w:t xml:space="preserve">: </w:t>
            </w:r>
            <w:r>
              <w:t>33878</w:t>
            </w:r>
          </w:p>
        </w:tc>
      </w:tr>
    </w:tbl>
    <w:p w:rsidR="00DC4131" w:rsidRPr="001E12E2" w:rsidRDefault="00DC4131" w:rsidP="00DC4131"/>
    <w:p w:rsidR="00DC4131" w:rsidRDefault="00DC4131" w:rsidP="00DC4131">
      <w:pPr>
        <w:pStyle w:val="SCCLsocPrefix"/>
      </w:pPr>
      <w:r>
        <w:t>Entre :</w:t>
      </w:r>
    </w:p>
    <w:p w:rsidR="00DC4131" w:rsidRPr="004921B2" w:rsidRDefault="00DC4131" w:rsidP="00DC4131">
      <w:pPr>
        <w:pStyle w:val="SCCLsocPartyRole"/>
        <w:rPr>
          <w:b/>
        </w:rPr>
      </w:pPr>
      <w:r w:rsidRPr="004921B2">
        <w:rPr>
          <w:b/>
        </w:rPr>
        <w:t>Banque Toronto-Dominion</w:t>
      </w:r>
      <w:r w:rsidRPr="004921B2">
        <w:rPr>
          <w:rStyle w:val="SCCAppellantForIndexChar"/>
          <w:rFonts w:eastAsiaTheme="minorHAnsi"/>
        </w:rPr>
        <w:t xml:space="preserve"> </w:t>
      </w:r>
      <w:r w:rsidRPr="004921B2">
        <w:rPr>
          <w:b/>
          <w:i/>
        </w:rPr>
        <w:t>c.</w:t>
      </w:r>
      <w:r w:rsidRPr="004921B2">
        <w:rPr>
          <w:b/>
        </w:rPr>
        <w:t xml:space="preserve"> Canada</w:t>
      </w:r>
    </w:p>
    <w:p w:rsidR="00DC4131" w:rsidRDefault="00DC4131" w:rsidP="00DC4131">
      <w:pPr>
        <w:pStyle w:val="SCCLsocPartyRole"/>
      </w:pPr>
      <w:r>
        <w:t>Appelante</w:t>
      </w:r>
    </w:p>
    <w:p w:rsidR="00DC4131" w:rsidRDefault="00DC4131" w:rsidP="00DC4131">
      <w:pPr>
        <w:pStyle w:val="SCCLsocVersus"/>
        <w:jc w:val="center"/>
      </w:pPr>
      <w:proofErr w:type="gramStart"/>
      <w:r>
        <w:t>et</w:t>
      </w:r>
      <w:proofErr w:type="gramEnd"/>
    </w:p>
    <w:p w:rsidR="00DC4131" w:rsidRDefault="00DC4131" w:rsidP="00DC4131">
      <w:pPr>
        <w:pStyle w:val="SCCLsocParty"/>
        <w:jc w:val="center"/>
      </w:pPr>
      <w:r>
        <w:t>Sa Majesté la Reine</w:t>
      </w:r>
    </w:p>
    <w:p w:rsidR="00DC4131" w:rsidRDefault="00DC4131" w:rsidP="00DC4131">
      <w:pPr>
        <w:pStyle w:val="SCCLsocPartyRole"/>
      </w:pPr>
      <w:r>
        <w:t>Intimée</w:t>
      </w:r>
    </w:p>
    <w:p w:rsidR="00DC4131" w:rsidRPr="001E12E2" w:rsidRDefault="00DC4131" w:rsidP="00DC4131"/>
    <w:p w:rsidR="00DC4131" w:rsidRDefault="00DC4131" w:rsidP="00DC4131">
      <w:r w:rsidRPr="001E12E2">
        <w:rPr>
          <w:b/>
          <w:smallCaps/>
        </w:rPr>
        <w:t xml:space="preserve">Coram </w:t>
      </w:r>
      <w:r w:rsidRPr="001E12E2">
        <w:t xml:space="preserve">: </w:t>
      </w:r>
      <w:r>
        <w:t xml:space="preserve">Les juge </w:t>
      </w:r>
      <w:proofErr w:type="spellStart"/>
      <w:r>
        <w:t>LeBel</w:t>
      </w:r>
      <w:proofErr w:type="spellEnd"/>
      <w:r>
        <w:t xml:space="preserve">, </w:t>
      </w:r>
      <w:r w:rsidRPr="00FB2BC5">
        <w:t xml:space="preserve">Deschamps, Abella, </w:t>
      </w:r>
      <w:proofErr w:type="spellStart"/>
      <w:r w:rsidRPr="00FB2BC5">
        <w:t>Rothstein</w:t>
      </w:r>
      <w:proofErr w:type="spellEnd"/>
      <w:r w:rsidRPr="00FB2BC5">
        <w:t xml:space="preserve">, Cromwell, </w:t>
      </w:r>
      <w:proofErr w:type="spellStart"/>
      <w:r w:rsidRPr="00FB2BC5">
        <w:t>Moldaver</w:t>
      </w:r>
      <w:proofErr w:type="spellEnd"/>
      <w:r w:rsidRPr="00FB2BC5">
        <w:t xml:space="preserve"> et </w:t>
      </w:r>
      <w:proofErr w:type="spellStart"/>
      <w:r w:rsidRPr="00FB2BC5">
        <w:t>Karakatsanis</w:t>
      </w:r>
      <w:proofErr w:type="spellEnd"/>
      <w:r w:rsidRPr="00FB2BC5">
        <w:t>.</w:t>
      </w:r>
    </w:p>
    <w:p w:rsidR="00DC4131" w:rsidRPr="001E12E2" w:rsidRDefault="00DC4131" w:rsidP="00DC41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DC4131" w:rsidRPr="001E12E2" w:rsidTr="00563911">
        <w:trPr>
          <w:cantSplit/>
        </w:trPr>
        <w:tc>
          <w:tcPr>
            <w:tcW w:w="3618" w:type="dxa"/>
          </w:tcPr>
          <w:p w:rsidR="00DC4131" w:rsidRDefault="00DC4131" w:rsidP="00563911"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r w:rsidRPr="001E12E2">
              <w:t xml:space="preserve"> :</w:t>
            </w:r>
          </w:p>
          <w:p w:rsidR="00DC4131" w:rsidRPr="001E12E2" w:rsidRDefault="00DC4131" w:rsidP="00563911">
            <w:r>
              <w:t>(par. 1)</w:t>
            </w:r>
          </w:p>
        </w:tc>
        <w:tc>
          <w:tcPr>
            <w:tcW w:w="5958" w:type="dxa"/>
          </w:tcPr>
          <w:p w:rsidR="00DC4131" w:rsidRDefault="00DC4131" w:rsidP="00563911">
            <w:r>
              <w:t xml:space="preserve">Le juge </w:t>
            </w:r>
            <w:proofErr w:type="spellStart"/>
            <w:r>
              <w:t>LeBel</w:t>
            </w:r>
            <w:proofErr w:type="spellEnd"/>
            <w:r>
              <w:t xml:space="preserve"> (</w:t>
            </w:r>
            <w:r w:rsidRPr="004921B2">
              <w:t>avec l’accord de</w:t>
            </w:r>
            <w:r>
              <w:t>s juges Deschamps,</w:t>
            </w:r>
            <w:r w:rsidRPr="00FB2BC5">
              <w:t xml:space="preserve"> Abella, </w:t>
            </w:r>
            <w:proofErr w:type="spellStart"/>
            <w:r w:rsidRPr="00FB2BC5">
              <w:t>Rothstein</w:t>
            </w:r>
            <w:proofErr w:type="spellEnd"/>
            <w:r w:rsidRPr="00FB2BC5">
              <w:t xml:space="preserve">, Cromwell, </w:t>
            </w:r>
            <w:proofErr w:type="spellStart"/>
            <w:r w:rsidRPr="00FB2BC5">
              <w:t>Moldaver</w:t>
            </w:r>
            <w:proofErr w:type="spellEnd"/>
            <w:r w:rsidRPr="00FB2BC5">
              <w:t xml:space="preserve"> et </w:t>
            </w:r>
            <w:proofErr w:type="spellStart"/>
            <w:r w:rsidRPr="00FB2BC5">
              <w:t>Karakatsanis</w:t>
            </w:r>
            <w:proofErr w:type="spellEnd"/>
            <w:r w:rsidRPr="00FB2BC5">
              <w:t>)</w:t>
            </w:r>
          </w:p>
          <w:p w:rsidR="00DC4131" w:rsidRPr="001E12E2" w:rsidRDefault="00DC4131" w:rsidP="00563911"/>
        </w:tc>
      </w:tr>
    </w:tbl>
    <w:p w:rsidR="00DC4131" w:rsidRPr="001E12E2" w:rsidRDefault="00DC4131" w:rsidP="00DC4131"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DC4131" w:rsidRDefault="00DC4131">
      <w:pPr>
        <w:spacing w:after="200" w:line="276" w:lineRule="auto"/>
      </w:pPr>
      <w:r>
        <w:br w:type="page"/>
      </w:r>
    </w:p>
    <w:p w:rsidR="00B1425F" w:rsidRPr="00B23214" w:rsidRDefault="00B23214" w:rsidP="00B1425F">
      <w:pPr>
        <w:spacing w:line="480" w:lineRule="auto"/>
        <w:jc w:val="both"/>
        <w:rPr>
          <w:rStyle w:val="SCCRespondentForRunningHeadChar"/>
          <w:lang w:val="fr-FR"/>
        </w:rPr>
      </w:pPr>
      <w:r w:rsidRPr="00B23214">
        <w:lastRenderedPageBreak/>
        <w:t>Banque Toronto-Dominion</w:t>
      </w:r>
      <w:r w:rsidRPr="00B23214">
        <w:rPr>
          <w:i/>
          <w:lang w:val="fr-FR"/>
        </w:rPr>
        <w:t xml:space="preserve"> c</w:t>
      </w:r>
      <w:r w:rsidRPr="00B23214">
        <w:rPr>
          <w:lang w:val="fr-FR"/>
        </w:rPr>
        <w:t xml:space="preserve">. </w:t>
      </w:r>
      <w:r>
        <w:rPr>
          <w:lang w:val="fr-FR"/>
        </w:rPr>
        <w:t>Canada, 2012 CSC 1, [2012] 1 R.C.S. 3</w:t>
      </w:r>
    </w:p>
    <w:p w:rsidR="00B23214" w:rsidRPr="00A563E1" w:rsidRDefault="00B23214" w:rsidP="00B1425F">
      <w:pPr>
        <w:spacing w:line="480" w:lineRule="auto"/>
        <w:jc w:val="both"/>
        <w:rPr>
          <w:rStyle w:val="SCCRespondentForRunningHeadChar"/>
          <w:lang w:val="fr-FR"/>
        </w:rPr>
      </w:pPr>
    </w:p>
    <w:p w:rsidR="00B1425F" w:rsidRPr="00A563E1" w:rsidRDefault="007501D1" w:rsidP="00B1425F">
      <w:pPr>
        <w:pStyle w:val="SCCLsocParty"/>
        <w:tabs>
          <w:tab w:val="right" w:pos="8280"/>
        </w:tabs>
        <w:spacing w:line="480" w:lineRule="auto"/>
        <w:rPr>
          <w:lang w:val="fr-FR"/>
        </w:rPr>
      </w:pPr>
      <w:r w:rsidRPr="00A563E1">
        <w:rPr>
          <w:lang w:val="fr-FR"/>
        </w:rPr>
        <w:t>Banque Toronto-Dominion</w:t>
      </w:r>
      <w:r w:rsidR="00B1425F" w:rsidRPr="00A563E1">
        <w:rPr>
          <w:lang w:val="fr-FR"/>
        </w:rPr>
        <w:tab/>
      </w:r>
      <w:r w:rsidR="00F310FE" w:rsidRPr="00A563E1">
        <w:rPr>
          <w:b w:val="0"/>
          <w:i/>
          <w:lang w:val="fr-FR"/>
        </w:rPr>
        <w:t>Appelante</w:t>
      </w:r>
    </w:p>
    <w:p w:rsidR="00B1425F" w:rsidRPr="00A563E1" w:rsidRDefault="00B1425F" w:rsidP="00B1425F">
      <w:pPr>
        <w:pStyle w:val="SCCLsocParty"/>
        <w:tabs>
          <w:tab w:val="right" w:pos="8280"/>
        </w:tabs>
        <w:spacing w:line="480" w:lineRule="auto"/>
        <w:rPr>
          <w:lang w:val="fr-FR"/>
        </w:rPr>
      </w:pPr>
    </w:p>
    <w:p w:rsidR="00B1425F" w:rsidRPr="00A563E1" w:rsidRDefault="00F310FE" w:rsidP="00B1425F">
      <w:pPr>
        <w:pStyle w:val="SCCLsocVersus"/>
        <w:spacing w:line="480" w:lineRule="auto"/>
        <w:rPr>
          <w:lang w:val="fr-FR"/>
        </w:rPr>
      </w:pPr>
      <w:proofErr w:type="gramStart"/>
      <w:r w:rsidRPr="00A563E1">
        <w:rPr>
          <w:lang w:val="fr-FR"/>
        </w:rPr>
        <w:t>c</w:t>
      </w:r>
      <w:proofErr w:type="gramEnd"/>
      <w:r w:rsidR="00B1425F" w:rsidRPr="00A563E1">
        <w:rPr>
          <w:lang w:val="fr-FR"/>
        </w:rPr>
        <w:t>.</w:t>
      </w:r>
    </w:p>
    <w:p w:rsidR="00B1425F" w:rsidRPr="00A563E1" w:rsidRDefault="00B1425F" w:rsidP="00B1425F">
      <w:pPr>
        <w:pStyle w:val="SCCLsocVersus"/>
        <w:spacing w:line="480" w:lineRule="auto"/>
        <w:rPr>
          <w:lang w:val="fr-FR"/>
        </w:rPr>
      </w:pPr>
    </w:p>
    <w:p w:rsidR="00B1425F" w:rsidRPr="00A563E1" w:rsidRDefault="007501D1" w:rsidP="00B1425F">
      <w:pPr>
        <w:pStyle w:val="SCCLsocParty"/>
        <w:tabs>
          <w:tab w:val="right" w:pos="8280"/>
        </w:tabs>
        <w:spacing w:line="480" w:lineRule="auto"/>
        <w:rPr>
          <w:lang w:val="fr-FR"/>
        </w:rPr>
      </w:pPr>
      <w:r w:rsidRPr="00A563E1">
        <w:rPr>
          <w:lang w:val="fr-FR"/>
        </w:rPr>
        <w:t>Sa Majesté la Reine</w:t>
      </w:r>
      <w:r w:rsidR="00B1425F" w:rsidRPr="00A563E1">
        <w:rPr>
          <w:i/>
          <w:lang w:val="fr-FR"/>
        </w:rPr>
        <w:tab/>
      </w:r>
      <w:r w:rsidR="00F310FE" w:rsidRPr="00A563E1">
        <w:rPr>
          <w:b w:val="0"/>
          <w:i/>
          <w:lang w:val="fr-FR"/>
        </w:rPr>
        <w:t>Intimée</w:t>
      </w:r>
    </w:p>
    <w:p w:rsidR="00B1425F" w:rsidRPr="00A563E1" w:rsidRDefault="00B1425F" w:rsidP="00B1425F">
      <w:pPr>
        <w:spacing w:line="480" w:lineRule="auto"/>
        <w:jc w:val="both"/>
        <w:rPr>
          <w:lang w:val="fr-FR"/>
        </w:rPr>
      </w:pPr>
    </w:p>
    <w:p w:rsidR="00B1425F" w:rsidRPr="00A563E1" w:rsidRDefault="00F310FE" w:rsidP="004E1885">
      <w:pPr>
        <w:jc w:val="both"/>
        <w:rPr>
          <w:b/>
          <w:lang w:val="fr-FR"/>
        </w:rPr>
      </w:pPr>
      <w:r w:rsidRPr="00A563E1">
        <w:rPr>
          <w:b/>
        </w:rPr>
        <w:t>Répertorié : </w:t>
      </w:r>
      <w:r w:rsidR="007501D1" w:rsidRPr="00A563E1">
        <w:rPr>
          <w:b/>
        </w:rPr>
        <w:t>Banque Toronto-Dominion</w:t>
      </w:r>
      <w:r w:rsidRPr="00A563E1">
        <w:rPr>
          <w:b/>
          <w:i/>
          <w:lang w:val="fr-FR"/>
        </w:rPr>
        <w:t xml:space="preserve"> c</w:t>
      </w:r>
      <w:r w:rsidR="00406E3D" w:rsidRPr="00A563E1">
        <w:rPr>
          <w:b/>
          <w:lang w:val="fr-FR"/>
        </w:rPr>
        <w:t xml:space="preserve">. </w:t>
      </w:r>
      <w:r w:rsidR="007501D1" w:rsidRPr="00A563E1">
        <w:rPr>
          <w:b/>
          <w:lang w:val="fr-FR"/>
        </w:rPr>
        <w:t>Canada</w:t>
      </w:r>
    </w:p>
    <w:p w:rsidR="00B1425F" w:rsidRPr="00A563E1" w:rsidRDefault="00B1425F" w:rsidP="00B1425F">
      <w:pPr>
        <w:spacing w:line="480" w:lineRule="auto"/>
        <w:jc w:val="both"/>
        <w:rPr>
          <w:lang w:val="fr-FR"/>
        </w:rPr>
      </w:pPr>
    </w:p>
    <w:p w:rsidR="00B1425F" w:rsidRPr="00A563E1" w:rsidRDefault="00B1425F" w:rsidP="00B1425F">
      <w:pPr>
        <w:pStyle w:val="SCCSystemYear"/>
        <w:spacing w:line="480" w:lineRule="auto"/>
        <w:jc w:val="both"/>
        <w:rPr>
          <w:lang w:val="fr-FR"/>
        </w:rPr>
      </w:pPr>
      <w:r w:rsidRPr="00A563E1">
        <w:rPr>
          <w:lang w:val="fr-FR"/>
        </w:rPr>
        <w:t>201</w:t>
      </w:r>
      <w:r w:rsidR="007501D1" w:rsidRPr="00A563E1">
        <w:rPr>
          <w:lang w:val="fr-FR"/>
        </w:rPr>
        <w:t>2</w:t>
      </w:r>
      <w:r w:rsidRPr="00A563E1">
        <w:rPr>
          <w:lang w:val="fr-FR"/>
        </w:rPr>
        <w:t xml:space="preserve"> C</w:t>
      </w:r>
      <w:r w:rsidR="00F310FE" w:rsidRPr="00A563E1">
        <w:rPr>
          <w:lang w:val="fr-FR"/>
        </w:rPr>
        <w:t>S</w:t>
      </w:r>
      <w:r w:rsidRPr="00A563E1">
        <w:rPr>
          <w:lang w:val="fr-FR"/>
        </w:rPr>
        <w:t>C </w:t>
      </w:r>
      <w:r w:rsidR="007501D1" w:rsidRPr="00A563E1">
        <w:rPr>
          <w:lang w:val="fr-FR"/>
        </w:rPr>
        <w:t>1</w:t>
      </w:r>
    </w:p>
    <w:p w:rsidR="00B1425F" w:rsidRPr="00A563E1" w:rsidRDefault="00B1425F" w:rsidP="00B1425F">
      <w:pPr>
        <w:spacing w:line="480" w:lineRule="auto"/>
        <w:jc w:val="both"/>
        <w:rPr>
          <w:lang w:val="fr-FR"/>
        </w:rPr>
      </w:pPr>
    </w:p>
    <w:p w:rsidR="00B1425F" w:rsidRPr="00A563E1" w:rsidRDefault="004E1885" w:rsidP="00B1425F">
      <w:pPr>
        <w:spacing w:line="480" w:lineRule="auto"/>
        <w:jc w:val="both"/>
        <w:rPr>
          <w:lang w:val="fr-FR"/>
        </w:rPr>
      </w:pPr>
      <w:r w:rsidRPr="00A563E1">
        <w:t>N</w:t>
      </w:r>
      <w:r w:rsidRPr="00A563E1">
        <w:rPr>
          <w:vertAlign w:val="superscript"/>
        </w:rPr>
        <w:t>o</w:t>
      </w:r>
      <w:r w:rsidRPr="00A563E1">
        <w:t xml:space="preserve"> du greffe : </w:t>
      </w:r>
      <w:r w:rsidR="00406E3D" w:rsidRPr="00A563E1">
        <w:rPr>
          <w:lang w:val="fr-FR"/>
        </w:rPr>
        <w:t>33</w:t>
      </w:r>
      <w:r w:rsidR="007501D1" w:rsidRPr="00A563E1">
        <w:rPr>
          <w:lang w:val="fr-FR"/>
        </w:rPr>
        <w:t>878</w:t>
      </w:r>
      <w:r w:rsidR="00B1425F" w:rsidRPr="00A563E1">
        <w:rPr>
          <w:lang w:val="fr-FR"/>
        </w:rPr>
        <w:t>.</w:t>
      </w:r>
    </w:p>
    <w:p w:rsidR="00B1425F" w:rsidRPr="00A563E1" w:rsidRDefault="00B1425F" w:rsidP="00B1425F">
      <w:pPr>
        <w:spacing w:line="480" w:lineRule="auto"/>
        <w:jc w:val="both"/>
        <w:rPr>
          <w:lang w:val="fr-FR"/>
        </w:rPr>
      </w:pPr>
    </w:p>
    <w:p w:rsidR="00B1425F" w:rsidRPr="00A563E1" w:rsidRDefault="00B1425F" w:rsidP="00B1425F">
      <w:pPr>
        <w:spacing w:line="480" w:lineRule="auto"/>
        <w:jc w:val="both"/>
        <w:rPr>
          <w:lang w:val="fr-FR"/>
        </w:rPr>
      </w:pPr>
      <w:r w:rsidRPr="00A563E1">
        <w:rPr>
          <w:lang w:val="fr-FR"/>
        </w:rPr>
        <w:t>201</w:t>
      </w:r>
      <w:r w:rsidR="007501D1" w:rsidRPr="00A563E1">
        <w:rPr>
          <w:lang w:val="fr-FR"/>
        </w:rPr>
        <w:t>2</w:t>
      </w:r>
      <w:r w:rsidR="00F310FE" w:rsidRPr="00A563E1">
        <w:rPr>
          <w:lang w:val="fr-FR"/>
        </w:rPr>
        <w:t> </w:t>
      </w:r>
      <w:r w:rsidRPr="00A563E1">
        <w:rPr>
          <w:lang w:val="fr-FR"/>
        </w:rPr>
        <w:t>: </w:t>
      </w:r>
      <w:r w:rsidR="00F310FE" w:rsidRPr="00A563E1">
        <w:rPr>
          <w:lang w:val="fr-FR"/>
        </w:rPr>
        <w:t>1</w:t>
      </w:r>
      <w:r w:rsidR="007501D1" w:rsidRPr="00A563E1">
        <w:rPr>
          <w:lang w:val="fr-FR"/>
        </w:rPr>
        <w:t>2</w:t>
      </w:r>
      <w:r w:rsidR="00F310FE" w:rsidRPr="00A563E1">
        <w:rPr>
          <w:lang w:val="fr-FR"/>
        </w:rPr>
        <w:t xml:space="preserve"> </w:t>
      </w:r>
      <w:r w:rsidR="007501D1" w:rsidRPr="00A563E1">
        <w:rPr>
          <w:lang w:val="fr-FR"/>
        </w:rPr>
        <w:t>janvier</w:t>
      </w:r>
      <w:r w:rsidRPr="00A563E1">
        <w:rPr>
          <w:lang w:val="fr-FR"/>
        </w:rPr>
        <w:t>.</w:t>
      </w:r>
    </w:p>
    <w:p w:rsidR="00B1425F" w:rsidRPr="00A563E1" w:rsidRDefault="00B1425F" w:rsidP="00B1425F">
      <w:pPr>
        <w:spacing w:line="480" w:lineRule="auto"/>
        <w:jc w:val="both"/>
        <w:rPr>
          <w:lang w:val="fr-FR"/>
        </w:rPr>
      </w:pPr>
    </w:p>
    <w:p w:rsidR="00B1425F" w:rsidRPr="00A563E1" w:rsidRDefault="00F310FE" w:rsidP="00E01E7B">
      <w:pPr>
        <w:jc w:val="both"/>
        <w:rPr>
          <w:lang w:val="fr-FR"/>
        </w:rPr>
      </w:pPr>
      <w:r w:rsidRPr="00A563E1">
        <w:rPr>
          <w:lang w:val="fr-FR"/>
        </w:rPr>
        <w:t>Pré</w:t>
      </w:r>
      <w:r w:rsidR="00B1425F" w:rsidRPr="00A563E1">
        <w:rPr>
          <w:lang w:val="fr-FR"/>
        </w:rPr>
        <w:t>sent</w:t>
      </w:r>
      <w:r w:rsidRPr="00A563E1">
        <w:rPr>
          <w:lang w:val="fr-FR"/>
        </w:rPr>
        <w:t>s</w:t>
      </w:r>
      <w:r w:rsidR="004E1885" w:rsidRPr="00A563E1">
        <w:rPr>
          <w:lang w:val="fr-FR"/>
        </w:rPr>
        <w:t> </w:t>
      </w:r>
      <w:r w:rsidR="00B1425F" w:rsidRPr="00A563E1">
        <w:rPr>
          <w:lang w:val="fr-FR"/>
        </w:rPr>
        <w:t>: </w:t>
      </w:r>
      <w:r w:rsidR="007501D1" w:rsidRPr="00A563E1">
        <w:rPr>
          <w:lang w:val="fr-FR"/>
        </w:rPr>
        <w:t>L</w:t>
      </w:r>
      <w:r w:rsidR="004E1885" w:rsidRPr="00A563E1">
        <w:rPr>
          <w:lang w:val="fr-FR"/>
        </w:rPr>
        <w:t>es juges</w:t>
      </w:r>
      <w:r w:rsidR="00E01E7B" w:rsidRPr="00A563E1">
        <w:rPr>
          <w:lang w:val="fr-FR"/>
        </w:rPr>
        <w:t xml:space="preserve"> </w:t>
      </w:r>
      <w:proofErr w:type="spellStart"/>
      <w:r w:rsidR="00E01E7B" w:rsidRPr="00A563E1">
        <w:rPr>
          <w:lang w:val="fr-FR"/>
        </w:rPr>
        <w:t>LeBel</w:t>
      </w:r>
      <w:proofErr w:type="spellEnd"/>
      <w:r w:rsidR="00E01E7B" w:rsidRPr="00A563E1">
        <w:rPr>
          <w:lang w:val="fr-FR"/>
        </w:rPr>
        <w:t xml:space="preserve">, Deschamps, Abella, </w:t>
      </w:r>
      <w:proofErr w:type="spellStart"/>
      <w:r w:rsidR="00E01E7B" w:rsidRPr="00A563E1">
        <w:rPr>
          <w:lang w:val="fr-FR"/>
        </w:rPr>
        <w:t>Rothstein</w:t>
      </w:r>
      <w:proofErr w:type="spellEnd"/>
      <w:r w:rsidR="00E01E7B" w:rsidRPr="00A563E1">
        <w:rPr>
          <w:lang w:val="fr-FR"/>
        </w:rPr>
        <w:t xml:space="preserve">, Cromwell, </w:t>
      </w:r>
      <w:proofErr w:type="spellStart"/>
      <w:r w:rsidR="00E01E7B" w:rsidRPr="00A563E1">
        <w:rPr>
          <w:lang w:val="fr-FR"/>
        </w:rPr>
        <w:t>Moldaver</w:t>
      </w:r>
      <w:proofErr w:type="spellEnd"/>
      <w:r w:rsidR="00E01E7B" w:rsidRPr="00A563E1">
        <w:rPr>
          <w:lang w:val="fr-FR"/>
        </w:rPr>
        <w:t xml:space="preserve"> </w:t>
      </w:r>
      <w:r w:rsidR="004E1885" w:rsidRPr="00A563E1">
        <w:rPr>
          <w:lang w:val="fr-FR"/>
        </w:rPr>
        <w:t>et</w:t>
      </w:r>
      <w:r w:rsidR="00E01E7B" w:rsidRPr="00A563E1">
        <w:rPr>
          <w:lang w:val="fr-FR"/>
        </w:rPr>
        <w:t xml:space="preserve"> </w:t>
      </w:r>
      <w:proofErr w:type="spellStart"/>
      <w:r w:rsidR="00E01E7B" w:rsidRPr="00A563E1">
        <w:rPr>
          <w:lang w:val="fr-FR"/>
        </w:rPr>
        <w:t>Karakatsanis</w:t>
      </w:r>
      <w:proofErr w:type="spellEnd"/>
      <w:r w:rsidR="00E01E7B" w:rsidRPr="00A563E1">
        <w:rPr>
          <w:lang w:val="fr-FR"/>
        </w:rPr>
        <w:t>.</w:t>
      </w:r>
    </w:p>
    <w:p w:rsidR="00B1425F" w:rsidRPr="00A563E1" w:rsidRDefault="00B1425F" w:rsidP="00B1425F">
      <w:pPr>
        <w:spacing w:line="480" w:lineRule="auto"/>
        <w:jc w:val="both"/>
        <w:rPr>
          <w:szCs w:val="24"/>
          <w:lang w:val="fr-FR"/>
        </w:rPr>
      </w:pPr>
    </w:p>
    <w:p w:rsidR="00B1425F" w:rsidRPr="00A563E1" w:rsidRDefault="004E1885" w:rsidP="00B1425F">
      <w:pPr>
        <w:spacing w:line="480" w:lineRule="auto"/>
        <w:jc w:val="both"/>
        <w:rPr>
          <w:smallCaps/>
          <w:szCs w:val="24"/>
          <w:lang w:val="fr-FR"/>
        </w:rPr>
      </w:pPr>
      <w:r w:rsidRPr="00A563E1">
        <w:rPr>
          <w:smallCaps/>
          <w:szCs w:val="24"/>
        </w:rPr>
        <w:t>en appel de la cour d’appel fédérale</w:t>
      </w:r>
    </w:p>
    <w:p w:rsidR="00745FEB" w:rsidRPr="00A563E1" w:rsidRDefault="00745FEB" w:rsidP="00745FEB">
      <w:pPr>
        <w:pStyle w:val="SCCNormalDoubleSpacing"/>
        <w:rPr>
          <w:szCs w:val="24"/>
        </w:rPr>
      </w:pPr>
    </w:p>
    <w:p w:rsidR="00745FEB" w:rsidRPr="00A563E1" w:rsidRDefault="00745FEB" w:rsidP="00745FEB">
      <w:pPr>
        <w:pStyle w:val="SCCNormalDoubleSpacing"/>
        <w:tabs>
          <w:tab w:val="left" w:pos="1170"/>
        </w:tabs>
        <w:spacing w:after="480"/>
        <w:rPr>
          <w:i/>
        </w:rPr>
      </w:pPr>
      <w:r w:rsidRPr="00A563E1">
        <w:rPr>
          <w:i/>
        </w:rPr>
        <w:tab/>
      </w:r>
      <w:r w:rsidR="008D6243" w:rsidRPr="00A563E1">
        <w:rPr>
          <w:i/>
        </w:rPr>
        <w:t xml:space="preserve">Droit fiscal </w:t>
      </w:r>
      <w:r w:rsidR="00662B79" w:rsidRPr="00A563E1">
        <w:rPr>
          <w:i/>
          <w:szCs w:val="24"/>
        </w:rPr>
        <w:t>—</w:t>
      </w:r>
      <w:r w:rsidR="008D6243" w:rsidRPr="00A563E1">
        <w:rPr>
          <w:i/>
        </w:rPr>
        <w:t xml:space="preserve"> Application et exécution </w:t>
      </w:r>
      <w:r w:rsidR="00662B79" w:rsidRPr="00A563E1">
        <w:rPr>
          <w:i/>
          <w:szCs w:val="24"/>
        </w:rPr>
        <w:t>—</w:t>
      </w:r>
      <w:r w:rsidR="008D6243" w:rsidRPr="00A563E1">
        <w:rPr>
          <w:i/>
        </w:rPr>
        <w:t xml:space="preserve"> Faillite et insolvabilité </w:t>
      </w:r>
      <w:r w:rsidR="00662B79" w:rsidRPr="00A563E1">
        <w:rPr>
          <w:i/>
          <w:szCs w:val="24"/>
        </w:rPr>
        <w:t>—</w:t>
      </w:r>
      <w:r w:rsidR="008D6243" w:rsidRPr="00A563E1">
        <w:rPr>
          <w:i/>
        </w:rPr>
        <w:t xml:space="preserve"> Insaisissabilité </w:t>
      </w:r>
      <w:r w:rsidR="00662B79" w:rsidRPr="00A563E1">
        <w:rPr>
          <w:i/>
          <w:szCs w:val="24"/>
        </w:rPr>
        <w:t>—</w:t>
      </w:r>
      <w:r w:rsidR="00662B79" w:rsidRPr="00A563E1">
        <w:rPr>
          <w:i/>
        </w:rPr>
        <w:t xml:space="preserve"> Ministre du Revenu adressant </w:t>
      </w:r>
      <w:r w:rsidR="008D6243" w:rsidRPr="00A563E1">
        <w:rPr>
          <w:i/>
        </w:rPr>
        <w:t xml:space="preserve">une demande formelle de paiement à une banque où </w:t>
      </w:r>
      <w:r w:rsidR="00407660" w:rsidRPr="00A563E1">
        <w:rPr>
          <w:i/>
        </w:rPr>
        <w:t xml:space="preserve">détenait un compte </w:t>
      </w:r>
      <w:r w:rsidR="008D6243" w:rsidRPr="00A563E1">
        <w:rPr>
          <w:i/>
        </w:rPr>
        <w:t xml:space="preserve">un débiteur fiscal </w:t>
      </w:r>
      <w:r w:rsidR="00662B79" w:rsidRPr="00A563E1">
        <w:rPr>
          <w:i/>
          <w:szCs w:val="24"/>
        </w:rPr>
        <w:t>—</w:t>
      </w:r>
      <w:r w:rsidR="008D6243" w:rsidRPr="00A563E1">
        <w:rPr>
          <w:i/>
        </w:rPr>
        <w:t xml:space="preserve"> Débiteur fiscal déposant par </w:t>
      </w:r>
      <w:r w:rsidR="008D6243" w:rsidRPr="00A563E1">
        <w:rPr>
          <w:i/>
        </w:rPr>
        <w:lastRenderedPageBreak/>
        <w:t xml:space="preserve">la suite un avis de proposition concordataire en vertu de la Loi sur la faillite et l’insolvabilité </w:t>
      </w:r>
      <w:r w:rsidR="00662B79" w:rsidRPr="00A563E1">
        <w:rPr>
          <w:i/>
          <w:szCs w:val="24"/>
        </w:rPr>
        <w:t>—</w:t>
      </w:r>
      <w:r w:rsidR="008D6243" w:rsidRPr="00A563E1">
        <w:rPr>
          <w:i/>
        </w:rPr>
        <w:t xml:space="preserve"> L’avis de proposition n’a pas priorité sur la demande de paiement</w:t>
      </w:r>
      <w:r w:rsidR="00407660" w:rsidRPr="00A563E1">
        <w:rPr>
          <w:i/>
        </w:rPr>
        <w:t xml:space="preserve"> antérieure</w:t>
      </w:r>
      <w:r w:rsidR="008D6243" w:rsidRPr="00A563E1">
        <w:rPr>
          <w:i/>
        </w:rPr>
        <w:t xml:space="preserve"> </w:t>
      </w:r>
      <w:r w:rsidR="00662B79" w:rsidRPr="00A563E1">
        <w:rPr>
          <w:i/>
          <w:szCs w:val="24"/>
        </w:rPr>
        <w:t>—</w:t>
      </w:r>
      <w:r w:rsidR="008D6243" w:rsidRPr="00A563E1">
        <w:rPr>
          <w:i/>
        </w:rPr>
        <w:t xml:space="preserve"> Loi sur la taxe d’accise, L.R</w:t>
      </w:r>
      <w:r w:rsidR="00662B79" w:rsidRPr="00A563E1">
        <w:rPr>
          <w:i/>
        </w:rPr>
        <w:t xml:space="preserve">.C. 1985, ch. E-15, art. 317(3) </w:t>
      </w:r>
      <w:r w:rsidR="00662B79" w:rsidRPr="00A563E1">
        <w:rPr>
          <w:i/>
          <w:szCs w:val="24"/>
        </w:rPr>
        <w:t>—</w:t>
      </w:r>
      <w:r w:rsidR="008D6243" w:rsidRPr="00A563E1">
        <w:rPr>
          <w:i/>
        </w:rPr>
        <w:t xml:space="preserve"> Loi sur la faillite et l’insolvabilité, L.R.C. 1985, ch. B-3, art. 69, 70.</w:t>
      </w:r>
    </w:p>
    <w:p w:rsidR="00B1425F" w:rsidRPr="00A563E1" w:rsidRDefault="002544E5" w:rsidP="007379F4">
      <w:pPr>
        <w:pStyle w:val="SCCNormalDoubleSpacing"/>
        <w:tabs>
          <w:tab w:val="left" w:pos="1170"/>
        </w:tabs>
        <w:spacing w:after="480"/>
        <w:rPr>
          <w:lang w:val="fr-FR"/>
        </w:rPr>
      </w:pPr>
      <w:r w:rsidRPr="00A563E1">
        <w:tab/>
      </w:r>
      <w:r w:rsidR="004E1885" w:rsidRPr="00A563E1">
        <w:t xml:space="preserve">POURVOI contre un arrêt de la Cour d’appel fédérale </w:t>
      </w:r>
      <w:r w:rsidR="00865241" w:rsidRPr="00A563E1">
        <w:rPr>
          <w:lang w:val="fr-FR"/>
        </w:rPr>
        <w:t>(</w:t>
      </w:r>
      <w:r w:rsidR="004E1885" w:rsidRPr="00A563E1">
        <w:rPr>
          <w:lang w:val="fr-FR"/>
        </w:rPr>
        <w:t xml:space="preserve">les juges </w:t>
      </w:r>
      <w:r w:rsidR="007501D1" w:rsidRPr="00A563E1">
        <w:rPr>
          <w:lang w:val="fr-FR"/>
        </w:rPr>
        <w:t>Blais, Noël et Trudel</w:t>
      </w:r>
      <w:r w:rsidR="00865241" w:rsidRPr="00A563E1">
        <w:rPr>
          <w:lang w:val="fr-FR"/>
        </w:rPr>
        <w:t>)</w:t>
      </w:r>
      <w:r w:rsidR="00713495" w:rsidRPr="00A563E1">
        <w:rPr>
          <w:lang w:val="fr-FR"/>
        </w:rPr>
        <w:t xml:space="preserve">, </w:t>
      </w:r>
      <w:r w:rsidR="004E1885" w:rsidRPr="00A563E1">
        <w:rPr>
          <w:lang w:val="fr-FR"/>
        </w:rPr>
        <w:t xml:space="preserve">2010 </w:t>
      </w:r>
      <w:r w:rsidR="00AD1C51" w:rsidRPr="00A563E1">
        <w:rPr>
          <w:lang w:val="fr-FR"/>
        </w:rPr>
        <w:t>CA</w:t>
      </w:r>
      <w:r w:rsidR="004E1885" w:rsidRPr="00A563E1">
        <w:rPr>
          <w:lang w:val="fr-FR"/>
        </w:rPr>
        <w:t>F</w:t>
      </w:r>
      <w:r w:rsidR="007501D1" w:rsidRPr="00A563E1">
        <w:rPr>
          <w:lang w:val="fr-FR"/>
        </w:rPr>
        <w:t xml:space="preserve"> 174</w:t>
      </w:r>
      <w:r w:rsidR="00691CBB" w:rsidRPr="00A563E1">
        <w:rPr>
          <w:lang w:val="fr-FR"/>
        </w:rPr>
        <w:t xml:space="preserve">, </w:t>
      </w:r>
      <w:r w:rsidR="00E90FCF" w:rsidRPr="00A563E1">
        <w:t xml:space="preserve">405 N.R. 282, </w:t>
      </w:r>
      <w:r w:rsidR="00D11B1C" w:rsidRPr="00A563E1">
        <w:t xml:space="preserve">325 D.L.R. (4th) 174, </w:t>
      </w:r>
      <w:r w:rsidR="00E90FCF" w:rsidRPr="00A563E1">
        <w:t>69 C.B.R. (5th) 190,</w:t>
      </w:r>
      <w:r w:rsidR="00D11B1C" w:rsidRPr="00A563E1">
        <w:t xml:space="preserve"> 2010 GTC 1048 (p. 1775), [2010] G.S.T.C. 99,</w:t>
      </w:r>
      <w:r w:rsidR="00E90FCF" w:rsidRPr="00A563E1">
        <w:t xml:space="preserve"> [2010] A.C.F. n</w:t>
      </w:r>
      <w:r w:rsidR="00E90FCF" w:rsidRPr="00A563E1">
        <w:rPr>
          <w:vertAlign w:val="superscript"/>
        </w:rPr>
        <w:t>o</w:t>
      </w:r>
      <w:r w:rsidR="00E90FCF" w:rsidRPr="00A563E1">
        <w:t xml:space="preserve"> 878 (QL), 2010 </w:t>
      </w:r>
      <w:proofErr w:type="spellStart"/>
      <w:r w:rsidR="00E90FCF" w:rsidRPr="00A563E1">
        <w:t>CarswellNat</w:t>
      </w:r>
      <w:proofErr w:type="spellEnd"/>
      <w:r w:rsidR="00E90FCF" w:rsidRPr="00A563E1">
        <w:t xml:space="preserve"> 1920, </w:t>
      </w:r>
      <w:r w:rsidR="004E1885" w:rsidRPr="00A563E1">
        <w:rPr>
          <w:lang w:val="fr-FR"/>
        </w:rPr>
        <w:t>qui a confirmé une décision du juge</w:t>
      </w:r>
      <w:r w:rsidR="00AD1C51" w:rsidRPr="00A563E1">
        <w:rPr>
          <w:lang w:val="fr-FR"/>
        </w:rPr>
        <w:t xml:space="preserve"> </w:t>
      </w:r>
      <w:r w:rsidR="007501D1" w:rsidRPr="00A563E1">
        <w:rPr>
          <w:lang w:val="fr-FR"/>
        </w:rPr>
        <w:t>Angers</w:t>
      </w:r>
      <w:r w:rsidR="00F44AD6" w:rsidRPr="00A563E1">
        <w:rPr>
          <w:lang w:val="fr-FR"/>
        </w:rPr>
        <w:t xml:space="preserve">, </w:t>
      </w:r>
      <w:r w:rsidR="00AD1C51" w:rsidRPr="00A563E1">
        <w:rPr>
          <w:lang w:val="fr-FR"/>
        </w:rPr>
        <w:t>200</w:t>
      </w:r>
      <w:r w:rsidR="007501D1" w:rsidRPr="00A563E1">
        <w:rPr>
          <w:lang w:val="fr-FR"/>
        </w:rPr>
        <w:t>9</w:t>
      </w:r>
      <w:r w:rsidR="00AD1C51" w:rsidRPr="00A563E1">
        <w:rPr>
          <w:lang w:val="fr-FR"/>
        </w:rPr>
        <w:t xml:space="preserve"> </w:t>
      </w:r>
      <w:r w:rsidR="007501D1" w:rsidRPr="00A563E1">
        <w:rPr>
          <w:lang w:val="fr-FR"/>
        </w:rPr>
        <w:t>CCI</w:t>
      </w:r>
      <w:r w:rsidR="00AD1C51" w:rsidRPr="00A563E1">
        <w:rPr>
          <w:lang w:val="fr-FR"/>
        </w:rPr>
        <w:t xml:space="preserve"> </w:t>
      </w:r>
      <w:r w:rsidR="007501D1" w:rsidRPr="00A563E1">
        <w:rPr>
          <w:lang w:val="fr-FR"/>
        </w:rPr>
        <w:t>522</w:t>
      </w:r>
      <w:r w:rsidR="00E4696B" w:rsidRPr="00A563E1">
        <w:rPr>
          <w:lang w:val="fr-FR"/>
        </w:rPr>
        <w:t xml:space="preserve">, </w:t>
      </w:r>
      <w:r w:rsidR="00E4696B" w:rsidRPr="00A563E1">
        <w:t>[2009] G.S.T.C. 162, 2010 G.T.C. 6</w:t>
      </w:r>
      <w:r w:rsidR="00D11B1C" w:rsidRPr="00A563E1">
        <w:t xml:space="preserve"> (p. 61)</w:t>
      </w:r>
      <w:r w:rsidR="00E4696B" w:rsidRPr="00A563E1">
        <w:t>, [2009] A.C.I. n</w:t>
      </w:r>
      <w:r w:rsidR="00E4696B" w:rsidRPr="00A563E1">
        <w:rPr>
          <w:vertAlign w:val="superscript"/>
        </w:rPr>
        <w:t>o</w:t>
      </w:r>
      <w:r w:rsidR="00E4696B" w:rsidRPr="00A563E1">
        <w:t xml:space="preserve"> 465 (QL), 2009 </w:t>
      </w:r>
      <w:proofErr w:type="spellStart"/>
      <w:r w:rsidR="00E4696B" w:rsidRPr="00A563E1">
        <w:t>CarswellNat</w:t>
      </w:r>
      <w:proofErr w:type="spellEnd"/>
      <w:r w:rsidR="00E4696B" w:rsidRPr="00A563E1">
        <w:t xml:space="preserve"> 3686</w:t>
      </w:r>
      <w:r w:rsidR="00CA60AA" w:rsidRPr="00A563E1">
        <w:rPr>
          <w:lang w:val="fr-FR"/>
        </w:rPr>
        <w:t xml:space="preserve">. </w:t>
      </w:r>
      <w:r w:rsidR="004E1885" w:rsidRPr="00A563E1">
        <w:rPr>
          <w:lang w:val="fr-FR"/>
        </w:rPr>
        <w:t>Pourvoi</w:t>
      </w:r>
      <w:r w:rsidR="00E41DA5" w:rsidRPr="00A563E1">
        <w:rPr>
          <w:lang w:val="fr-FR"/>
        </w:rPr>
        <w:t xml:space="preserve"> </w:t>
      </w:r>
      <w:r w:rsidR="004E1885" w:rsidRPr="00A563E1">
        <w:rPr>
          <w:lang w:val="fr-FR"/>
        </w:rPr>
        <w:t>rejeté</w:t>
      </w:r>
      <w:r w:rsidR="00B1425F" w:rsidRPr="00A563E1">
        <w:rPr>
          <w:lang w:val="fr-FR"/>
        </w:rPr>
        <w:t>.</w:t>
      </w:r>
    </w:p>
    <w:p w:rsidR="00B1425F" w:rsidRPr="00A563E1" w:rsidRDefault="00B1425F" w:rsidP="00E63E36">
      <w:pPr>
        <w:pStyle w:val="SCCNormalDoubleSpacing"/>
        <w:tabs>
          <w:tab w:val="left" w:pos="1170"/>
        </w:tabs>
        <w:spacing w:after="480"/>
        <w:rPr>
          <w:rStyle w:val="SCCCounselPartyRoleChar"/>
          <w:lang w:val="fr-FR"/>
        </w:rPr>
      </w:pPr>
      <w:r w:rsidRPr="00A563E1">
        <w:rPr>
          <w:rStyle w:val="SCCCounselNameChar"/>
          <w:lang w:val="fr-FR"/>
        </w:rPr>
        <w:tab/>
      </w:r>
      <w:r w:rsidR="0083243C" w:rsidRPr="00A563E1">
        <w:rPr>
          <w:rStyle w:val="SCCCounselNameChar"/>
          <w:lang w:val="fr-CA"/>
        </w:rPr>
        <w:t>Éric Potvin</w:t>
      </w:r>
      <w:r w:rsidR="0083243C" w:rsidRPr="00A563E1">
        <w:rPr>
          <w:rStyle w:val="SCCCounselNameChar"/>
          <w:i w:val="0"/>
          <w:lang w:val="fr-CA"/>
        </w:rPr>
        <w:t xml:space="preserve"> et </w:t>
      </w:r>
      <w:r w:rsidR="0083243C" w:rsidRPr="00A563E1">
        <w:rPr>
          <w:rStyle w:val="SCCCounselNameChar"/>
          <w:lang w:val="fr-CA"/>
        </w:rPr>
        <w:t>André Rousseau</w:t>
      </w:r>
      <w:r w:rsidRPr="00A563E1">
        <w:rPr>
          <w:rStyle w:val="SCCCounselPartyRoleChar"/>
          <w:lang w:val="fr-FR"/>
        </w:rPr>
        <w:t xml:space="preserve">, </w:t>
      </w:r>
      <w:r w:rsidR="00D1207E" w:rsidRPr="00A563E1">
        <w:rPr>
          <w:rStyle w:val="SCCCounselPartyRoleChar"/>
          <w:lang w:val="fr-CA"/>
        </w:rPr>
        <w:t>pour l’appelante</w:t>
      </w:r>
      <w:r w:rsidRPr="00A563E1">
        <w:rPr>
          <w:rStyle w:val="SCCCounselPartyRoleChar"/>
          <w:lang w:val="fr-FR"/>
        </w:rPr>
        <w:t>.</w:t>
      </w:r>
    </w:p>
    <w:p w:rsidR="00CF4502" w:rsidRPr="00A563E1" w:rsidRDefault="00CF4502" w:rsidP="00E63E36">
      <w:pPr>
        <w:pStyle w:val="SCCNormalDoubleSpacing"/>
        <w:tabs>
          <w:tab w:val="left" w:pos="1170"/>
        </w:tabs>
        <w:spacing w:after="480"/>
        <w:rPr>
          <w:rStyle w:val="SCCCounselPartyRoleChar"/>
          <w:lang w:val="fr-FR"/>
        </w:rPr>
      </w:pPr>
      <w:r w:rsidRPr="00A563E1">
        <w:rPr>
          <w:rStyle w:val="SCCCounselPartyRoleChar"/>
          <w:lang w:val="fr-FR"/>
        </w:rPr>
        <w:tab/>
      </w:r>
      <w:r w:rsidR="0083243C" w:rsidRPr="00A563E1">
        <w:rPr>
          <w:rStyle w:val="SCCCounselPartyRoleChar"/>
          <w:i/>
          <w:lang w:val="fr-CA"/>
        </w:rPr>
        <w:t>Christian Boutin</w:t>
      </w:r>
      <w:r w:rsidR="0083243C" w:rsidRPr="00A563E1">
        <w:rPr>
          <w:rStyle w:val="SCCCounselPartyRoleChar"/>
          <w:lang w:val="fr-CA"/>
        </w:rPr>
        <w:t xml:space="preserve"> </w:t>
      </w:r>
      <w:r w:rsidR="0078777F" w:rsidRPr="00A563E1">
        <w:rPr>
          <w:rStyle w:val="SCCCounselPartyRoleChar"/>
          <w:lang w:val="fr-CA"/>
        </w:rPr>
        <w:t>et</w:t>
      </w:r>
      <w:r w:rsidR="0083243C" w:rsidRPr="00A563E1">
        <w:rPr>
          <w:rStyle w:val="SCCCounselPartyRoleChar"/>
          <w:lang w:val="fr-CA"/>
        </w:rPr>
        <w:t xml:space="preserve"> </w:t>
      </w:r>
      <w:r w:rsidR="0083243C" w:rsidRPr="00A563E1">
        <w:rPr>
          <w:rStyle w:val="SCCCounselPartyRoleChar"/>
          <w:i/>
          <w:lang w:val="fr-CA"/>
        </w:rPr>
        <w:t>Pier-Olivier Julien</w:t>
      </w:r>
      <w:r w:rsidRPr="00A563E1">
        <w:rPr>
          <w:rStyle w:val="SCCCounselPartyRoleChar"/>
          <w:lang w:val="fr-FR"/>
        </w:rPr>
        <w:t xml:space="preserve">, </w:t>
      </w:r>
      <w:r w:rsidR="00D1207E" w:rsidRPr="00A563E1">
        <w:rPr>
          <w:rStyle w:val="SCCCounselPartyRoleChar"/>
          <w:lang w:val="fr-CA"/>
        </w:rPr>
        <w:t>pour l’intimée</w:t>
      </w:r>
      <w:r w:rsidRPr="00A563E1">
        <w:rPr>
          <w:rStyle w:val="SCCCounselPartyRoleChar"/>
          <w:lang w:val="fr-FR"/>
        </w:rPr>
        <w:t>.</w:t>
      </w:r>
    </w:p>
    <w:p w:rsidR="00D1207E" w:rsidRPr="00A563E1" w:rsidRDefault="00D1207E" w:rsidP="00D1207E">
      <w:pPr>
        <w:pStyle w:val="SCCNormalDoubleSpacing"/>
        <w:tabs>
          <w:tab w:val="left" w:pos="1170"/>
        </w:tabs>
        <w:spacing w:after="480"/>
        <w:rPr>
          <w:szCs w:val="24"/>
        </w:rPr>
      </w:pPr>
      <w:r w:rsidRPr="00A563E1">
        <w:rPr>
          <w:szCs w:val="24"/>
        </w:rPr>
        <w:tab/>
      </w:r>
      <w:r w:rsidR="00866806" w:rsidRPr="00A563E1">
        <w:rPr>
          <w:szCs w:val="24"/>
        </w:rPr>
        <w:t>Le jugement de la Cour a été rendu oralement par</w:t>
      </w:r>
    </w:p>
    <w:p w:rsidR="00E01E7B" w:rsidRPr="00A563E1" w:rsidRDefault="00B1425F" w:rsidP="00D1207E">
      <w:pPr>
        <w:pStyle w:val="SCCNormalDoubleSpacing"/>
        <w:tabs>
          <w:tab w:val="left" w:pos="1170"/>
        </w:tabs>
        <w:spacing w:after="480"/>
        <w:rPr>
          <w:lang w:val="fr-FR"/>
        </w:rPr>
      </w:pPr>
      <w:r w:rsidRPr="00A563E1">
        <w:rPr>
          <w:lang w:val="fr-FR"/>
        </w:rPr>
        <w:t>[1]</w:t>
      </w:r>
      <w:r w:rsidRPr="00A563E1">
        <w:rPr>
          <w:lang w:val="fr-FR"/>
        </w:rPr>
        <w:tab/>
      </w:r>
      <w:r w:rsidR="00866806" w:rsidRPr="00A563E1">
        <w:rPr>
          <w:smallCaps/>
          <w:lang w:val="fr-FR"/>
        </w:rPr>
        <w:t xml:space="preserve">Le </w:t>
      </w:r>
      <w:r w:rsidR="00674D62" w:rsidRPr="00A563E1">
        <w:rPr>
          <w:smallCaps/>
          <w:lang w:val="fr-FR"/>
        </w:rPr>
        <w:t>j</w:t>
      </w:r>
      <w:r w:rsidR="00D1207E" w:rsidRPr="00A563E1">
        <w:rPr>
          <w:smallCaps/>
          <w:lang w:val="fr-FR"/>
        </w:rPr>
        <w:t xml:space="preserve">uge </w:t>
      </w:r>
      <w:r w:rsidR="00866806" w:rsidRPr="00A563E1">
        <w:rPr>
          <w:smallCaps/>
          <w:lang w:val="fr-FR"/>
        </w:rPr>
        <w:t>LeBel</w:t>
      </w:r>
      <w:r w:rsidRPr="00A563E1">
        <w:rPr>
          <w:lang w:val="fr-FR"/>
        </w:rPr>
        <w:t xml:space="preserve"> ― </w:t>
      </w:r>
      <w:r w:rsidR="00866806" w:rsidRPr="00A563E1">
        <w:rPr>
          <w:lang w:val="fr-FR"/>
        </w:rPr>
        <w:t>Nous sommes d’accord avec les motifs exposés par le juge Noël de la Cour d’appel fédérale (2010 CAF 174</w:t>
      </w:r>
      <w:r w:rsidR="00F84673" w:rsidRPr="00A563E1">
        <w:rPr>
          <w:lang w:val="fr-FR"/>
        </w:rPr>
        <w:t xml:space="preserve">, </w:t>
      </w:r>
      <w:r w:rsidR="00F84673" w:rsidRPr="00A563E1">
        <w:t>405 N.R. 282</w:t>
      </w:r>
      <w:r w:rsidR="00866806" w:rsidRPr="00A563E1">
        <w:rPr>
          <w:lang w:val="fr-FR"/>
        </w:rPr>
        <w:t>). En conséquence, l’appel est rejeté sans dépens</w:t>
      </w:r>
      <w:r w:rsidR="00D1207E" w:rsidRPr="00A563E1">
        <w:rPr>
          <w:lang w:val="fr-FR"/>
        </w:rPr>
        <w:t>.</w:t>
      </w:r>
    </w:p>
    <w:p w:rsidR="00B1425F" w:rsidRPr="00A563E1" w:rsidRDefault="00E63E36" w:rsidP="00E63E36">
      <w:pPr>
        <w:pStyle w:val="SCCNormalDoubleSpacing"/>
        <w:tabs>
          <w:tab w:val="left" w:pos="1170"/>
        </w:tabs>
        <w:spacing w:after="480"/>
        <w:rPr>
          <w:rStyle w:val="SCCCounselPartyRoleChar"/>
          <w:i/>
          <w:lang w:val="fr-FR"/>
        </w:rPr>
      </w:pPr>
      <w:r w:rsidRPr="00A563E1">
        <w:rPr>
          <w:i/>
          <w:lang w:val="fr-FR"/>
        </w:rPr>
        <w:tab/>
      </w:r>
      <w:r w:rsidR="00D1207E" w:rsidRPr="00A563E1">
        <w:rPr>
          <w:i/>
        </w:rPr>
        <w:t>Jugement en conséquence.</w:t>
      </w:r>
    </w:p>
    <w:p w:rsidR="00B1425F" w:rsidRPr="00A563E1" w:rsidRDefault="00E63E36" w:rsidP="00E63E36">
      <w:pPr>
        <w:pStyle w:val="SCCNormalDoubleSpacing"/>
        <w:tabs>
          <w:tab w:val="left" w:pos="1170"/>
        </w:tabs>
        <w:spacing w:after="480"/>
        <w:rPr>
          <w:i/>
          <w:lang w:val="fr-FR"/>
        </w:rPr>
      </w:pPr>
      <w:r w:rsidRPr="00A563E1">
        <w:rPr>
          <w:lang w:val="fr-FR"/>
        </w:rPr>
        <w:lastRenderedPageBreak/>
        <w:tab/>
      </w:r>
      <w:r w:rsidR="00D1207E" w:rsidRPr="00A563E1">
        <w:rPr>
          <w:i/>
          <w:lang w:val="fr-FR"/>
        </w:rPr>
        <w:t>Procureurs de l’appelant</w:t>
      </w:r>
      <w:r w:rsidR="00E23EC1" w:rsidRPr="00A563E1">
        <w:rPr>
          <w:i/>
          <w:lang w:val="fr-FR"/>
        </w:rPr>
        <w:t>e</w:t>
      </w:r>
      <w:r w:rsidR="000A0F63" w:rsidRPr="00A563E1">
        <w:rPr>
          <w:i/>
          <w:lang w:val="fr-FR"/>
        </w:rPr>
        <w:t> </w:t>
      </w:r>
      <w:r w:rsidR="00B1425F" w:rsidRPr="00A563E1">
        <w:rPr>
          <w:i/>
          <w:lang w:val="fr-FR"/>
        </w:rPr>
        <w:t>:</w:t>
      </w:r>
      <w:r w:rsidR="000A0F63" w:rsidRPr="00A563E1">
        <w:rPr>
          <w:i/>
          <w:lang w:val="fr-FR"/>
        </w:rPr>
        <w:t xml:space="preserve"> </w:t>
      </w:r>
      <w:r w:rsidR="0083243C" w:rsidRPr="00A563E1">
        <w:rPr>
          <w:i/>
        </w:rPr>
        <w:t xml:space="preserve">Lapointe </w:t>
      </w:r>
      <w:proofErr w:type="spellStart"/>
      <w:r w:rsidR="0083243C" w:rsidRPr="00A563E1">
        <w:rPr>
          <w:i/>
        </w:rPr>
        <w:t>Rosenstein</w:t>
      </w:r>
      <w:proofErr w:type="spellEnd"/>
      <w:r w:rsidR="0083243C" w:rsidRPr="00A563E1">
        <w:rPr>
          <w:i/>
        </w:rPr>
        <w:t xml:space="preserve"> Marchand </w:t>
      </w:r>
      <w:proofErr w:type="spellStart"/>
      <w:r w:rsidR="0083243C" w:rsidRPr="00A563E1">
        <w:rPr>
          <w:i/>
        </w:rPr>
        <w:t>Melançon</w:t>
      </w:r>
      <w:proofErr w:type="spellEnd"/>
      <w:r w:rsidR="0083243C" w:rsidRPr="00A563E1">
        <w:rPr>
          <w:i/>
        </w:rPr>
        <w:t>, Montréal.</w:t>
      </w:r>
    </w:p>
    <w:p w:rsidR="00865241" w:rsidRPr="00A563E1" w:rsidRDefault="00E63E36" w:rsidP="00E63E36">
      <w:pPr>
        <w:pStyle w:val="SCCNormalDoubleSpacing"/>
        <w:tabs>
          <w:tab w:val="left" w:pos="1170"/>
        </w:tabs>
        <w:spacing w:after="480"/>
        <w:rPr>
          <w:i/>
          <w:lang w:val="fr-FR"/>
        </w:rPr>
      </w:pPr>
      <w:r w:rsidRPr="00A563E1">
        <w:rPr>
          <w:lang w:val="fr-FR"/>
        </w:rPr>
        <w:tab/>
      </w:r>
      <w:r w:rsidR="00D1207E" w:rsidRPr="00A563E1">
        <w:rPr>
          <w:i/>
          <w:lang w:val="fr-FR"/>
        </w:rPr>
        <w:t>Procureurs de l’intimée</w:t>
      </w:r>
      <w:r w:rsidR="0083243C" w:rsidRPr="00A563E1">
        <w:rPr>
          <w:i/>
          <w:lang w:val="fr-FR"/>
        </w:rPr>
        <w:t> </w:t>
      </w:r>
      <w:r w:rsidR="00D1207E" w:rsidRPr="00A563E1">
        <w:rPr>
          <w:i/>
          <w:lang w:val="fr-FR"/>
        </w:rPr>
        <w:t xml:space="preserve">: </w:t>
      </w:r>
      <w:r w:rsidR="0083243C" w:rsidRPr="00A563E1">
        <w:rPr>
          <w:i/>
        </w:rPr>
        <w:t>Larivière Meunier, Québec.</w:t>
      </w:r>
    </w:p>
    <w:sectPr w:rsidR="00865241" w:rsidRPr="00A563E1" w:rsidSect="00A67A1D">
      <w:headerReference w:type="default" r:id="rId9"/>
      <w:pgSz w:w="12240" w:h="15840"/>
      <w:pgMar w:top="1267" w:right="2160" w:bottom="1267" w:left="1800" w:header="180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79" w:rsidRDefault="00662B79" w:rsidP="005D1447">
      <w:r>
        <w:separator/>
      </w:r>
    </w:p>
  </w:endnote>
  <w:endnote w:type="continuationSeparator" w:id="0">
    <w:p w:rsidR="00662B79" w:rsidRDefault="00662B79" w:rsidP="005D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79" w:rsidRDefault="00662B79" w:rsidP="005D1447">
      <w:r>
        <w:separator/>
      </w:r>
    </w:p>
  </w:footnote>
  <w:footnote w:type="continuationSeparator" w:id="0">
    <w:p w:rsidR="00662B79" w:rsidRDefault="00662B79" w:rsidP="005D1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7767"/>
      <w:docPartObj>
        <w:docPartGallery w:val="Page Numbers (Top of Page)"/>
        <w:docPartUnique/>
      </w:docPartObj>
    </w:sdtPr>
    <w:sdtContent>
      <w:p w:rsidR="00A67A1D" w:rsidRDefault="00A67A1D">
        <w:pPr>
          <w:pStyle w:val="Header"/>
          <w:jc w:val="center"/>
        </w:pPr>
        <w:r>
          <w:t xml:space="preserve">- </w:t>
        </w:r>
        <w:fldSimple w:instr=" PAGE   \* MERGEFORMAT ">
          <w:r w:rsidR="00DC4131">
            <w:rPr>
              <w:noProof/>
            </w:rPr>
            <w:t>2</w:t>
          </w:r>
        </w:fldSimple>
        <w:r>
          <w:t xml:space="preserve"> -</w:t>
        </w:r>
      </w:p>
    </w:sdtContent>
  </w:sdt>
  <w:p w:rsidR="00A67A1D" w:rsidRDefault="00A67A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1425F"/>
    <w:rsid w:val="000247AD"/>
    <w:rsid w:val="00055EFA"/>
    <w:rsid w:val="00090CD8"/>
    <w:rsid w:val="000A0F63"/>
    <w:rsid w:val="000A5279"/>
    <w:rsid w:val="000E1AF2"/>
    <w:rsid w:val="001944EF"/>
    <w:rsid w:val="001C521F"/>
    <w:rsid w:val="001F2A4D"/>
    <w:rsid w:val="002544E5"/>
    <w:rsid w:val="002805FB"/>
    <w:rsid w:val="002A1C62"/>
    <w:rsid w:val="002A466D"/>
    <w:rsid w:val="002B6171"/>
    <w:rsid w:val="002E1621"/>
    <w:rsid w:val="00313E31"/>
    <w:rsid w:val="003265B8"/>
    <w:rsid w:val="0039184C"/>
    <w:rsid w:val="003E0806"/>
    <w:rsid w:val="003F7B8B"/>
    <w:rsid w:val="00406382"/>
    <w:rsid w:val="00406E3D"/>
    <w:rsid w:val="00407660"/>
    <w:rsid w:val="00424DBB"/>
    <w:rsid w:val="00426EB3"/>
    <w:rsid w:val="00490CBE"/>
    <w:rsid w:val="0049752C"/>
    <w:rsid w:val="004E1885"/>
    <w:rsid w:val="00510E08"/>
    <w:rsid w:val="00520B51"/>
    <w:rsid w:val="005312EC"/>
    <w:rsid w:val="00537A44"/>
    <w:rsid w:val="0055063C"/>
    <w:rsid w:val="005606F9"/>
    <w:rsid w:val="00594E36"/>
    <w:rsid w:val="005B4F9B"/>
    <w:rsid w:val="005D1447"/>
    <w:rsid w:val="006000F7"/>
    <w:rsid w:val="00626FCA"/>
    <w:rsid w:val="00637BAA"/>
    <w:rsid w:val="00662B79"/>
    <w:rsid w:val="006634A3"/>
    <w:rsid w:val="00674D62"/>
    <w:rsid w:val="00691CBB"/>
    <w:rsid w:val="006A57AE"/>
    <w:rsid w:val="006A77DF"/>
    <w:rsid w:val="00710838"/>
    <w:rsid w:val="00713495"/>
    <w:rsid w:val="007379F4"/>
    <w:rsid w:val="00745FEB"/>
    <w:rsid w:val="007501D1"/>
    <w:rsid w:val="0078777F"/>
    <w:rsid w:val="007D67BF"/>
    <w:rsid w:val="008056A4"/>
    <w:rsid w:val="008061D2"/>
    <w:rsid w:val="00826834"/>
    <w:rsid w:val="0083243C"/>
    <w:rsid w:val="00865241"/>
    <w:rsid w:val="00866806"/>
    <w:rsid w:val="00872BB8"/>
    <w:rsid w:val="00873B78"/>
    <w:rsid w:val="008A36D9"/>
    <w:rsid w:val="008D6243"/>
    <w:rsid w:val="009027BF"/>
    <w:rsid w:val="0090569F"/>
    <w:rsid w:val="009304D5"/>
    <w:rsid w:val="00953998"/>
    <w:rsid w:val="00972C01"/>
    <w:rsid w:val="00980062"/>
    <w:rsid w:val="0098299C"/>
    <w:rsid w:val="009A1138"/>
    <w:rsid w:val="009A2184"/>
    <w:rsid w:val="009B228B"/>
    <w:rsid w:val="009E15E9"/>
    <w:rsid w:val="009E6031"/>
    <w:rsid w:val="009E623D"/>
    <w:rsid w:val="00A02DDF"/>
    <w:rsid w:val="00A563E1"/>
    <w:rsid w:val="00A67A1D"/>
    <w:rsid w:val="00AB2D64"/>
    <w:rsid w:val="00AB7EBD"/>
    <w:rsid w:val="00AD1C51"/>
    <w:rsid w:val="00AF0605"/>
    <w:rsid w:val="00B138DB"/>
    <w:rsid w:val="00B1425F"/>
    <w:rsid w:val="00B22612"/>
    <w:rsid w:val="00B23214"/>
    <w:rsid w:val="00B25DA6"/>
    <w:rsid w:val="00B54ACC"/>
    <w:rsid w:val="00B63AA5"/>
    <w:rsid w:val="00B853D7"/>
    <w:rsid w:val="00B90FF0"/>
    <w:rsid w:val="00BA624B"/>
    <w:rsid w:val="00BC2A54"/>
    <w:rsid w:val="00C16861"/>
    <w:rsid w:val="00C41DDD"/>
    <w:rsid w:val="00CA23A7"/>
    <w:rsid w:val="00CA60AA"/>
    <w:rsid w:val="00CD1376"/>
    <w:rsid w:val="00CF4502"/>
    <w:rsid w:val="00D0237F"/>
    <w:rsid w:val="00D07476"/>
    <w:rsid w:val="00D111BA"/>
    <w:rsid w:val="00D11B1C"/>
    <w:rsid w:val="00D1207E"/>
    <w:rsid w:val="00D27AE5"/>
    <w:rsid w:val="00DA78E9"/>
    <w:rsid w:val="00DC4131"/>
    <w:rsid w:val="00DF0821"/>
    <w:rsid w:val="00E01D7F"/>
    <w:rsid w:val="00E01E7B"/>
    <w:rsid w:val="00E16091"/>
    <w:rsid w:val="00E203CC"/>
    <w:rsid w:val="00E23EC1"/>
    <w:rsid w:val="00E35347"/>
    <w:rsid w:val="00E41DA5"/>
    <w:rsid w:val="00E4696B"/>
    <w:rsid w:val="00E63E36"/>
    <w:rsid w:val="00E90FCF"/>
    <w:rsid w:val="00F310FE"/>
    <w:rsid w:val="00F44AD6"/>
    <w:rsid w:val="00F651E7"/>
    <w:rsid w:val="00F8278E"/>
    <w:rsid w:val="00F84673"/>
    <w:rsid w:val="00F96489"/>
    <w:rsid w:val="00FB1CFF"/>
    <w:rsid w:val="00FB3F1C"/>
    <w:rsid w:val="00FB4E7B"/>
    <w:rsid w:val="00FD35B0"/>
    <w:rsid w:val="00F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NormalDoubleSpacing">
    <w:name w:val="SCC.Normal.DoubleSpacing"/>
    <w:basedOn w:val="Normal"/>
    <w:link w:val="SCCNormalDoubleSpacingChar"/>
    <w:rsid w:val="00B1425F"/>
    <w:pPr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B1425F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B142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425F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B14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5F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SCCLsocParty">
    <w:name w:val="SCC.Lsoc.Party"/>
    <w:basedOn w:val="Normal"/>
    <w:next w:val="Normal"/>
    <w:link w:val="SCCLsocPartyChar"/>
    <w:rsid w:val="00B1425F"/>
    <w:pPr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B1425F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LsocVersus">
    <w:name w:val="SCC.Lsoc.Versus"/>
    <w:basedOn w:val="Normal"/>
    <w:next w:val="Normal"/>
    <w:link w:val="SCCLsocVersusChar"/>
    <w:rsid w:val="00B1425F"/>
    <w:rPr>
      <w:i/>
    </w:rPr>
  </w:style>
  <w:style w:type="character" w:customStyle="1" w:styleId="SCCLsocVersusChar">
    <w:name w:val="SCC.Lsoc.Versus Char"/>
    <w:basedOn w:val="DefaultParagraphFont"/>
    <w:link w:val="SCCLsocVersus"/>
    <w:rsid w:val="00B1425F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B1425F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B1425F"/>
    <w:rPr>
      <w:rFonts w:ascii="Times New Roman" w:eastAsia="Times New Roman" w:hAnsi="Times New Roman" w:cs="Times New Roman"/>
      <w:smallCaps/>
      <w:sz w:val="24"/>
      <w:szCs w:val="20"/>
      <w:lang w:val="en-CA" w:eastAsia="en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B1425F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B1425F"/>
    <w:rPr>
      <w:rFonts w:ascii="Times New Roman" w:eastAsia="Times New Roman" w:hAnsi="Times New Roman" w:cs="Times New Roman"/>
      <w:smallCaps/>
      <w:sz w:val="24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B1425F"/>
    <w:rPr>
      <w:b/>
    </w:rPr>
  </w:style>
  <w:style w:type="character" w:customStyle="1" w:styleId="SCCSystemYearChar">
    <w:name w:val="SCC.SystemYear Char"/>
    <w:basedOn w:val="DefaultParagraphFont"/>
    <w:link w:val="SCCSystemYear"/>
    <w:rsid w:val="00B1425F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B1425F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B1425F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B1425F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B1425F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B1425F"/>
    <w:rPr>
      <w:i/>
    </w:rPr>
  </w:style>
  <w:style w:type="character" w:customStyle="1" w:styleId="SCCLawFirmChar">
    <w:name w:val="SCC.LawFirm Char"/>
    <w:basedOn w:val="SCCNormalDoubleSpacingChar"/>
    <w:link w:val="SCCLawFirm"/>
    <w:rsid w:val="00B1425F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B1425F"/>
  </w:style>
  <w:style w:type="character" w:customStyle="1" w:styleId="SCCCounselPartyRoleChar">
    <w:name w:val="SCC.CounselPartyRole Char"/>
    <w:basedOn w:val="SCCNormalDoubleSpacingChar"/>
    <w:link w:val="SCCCounselPartyRole"/>
    <w:rsid w:val="00B1425F"/>
  </w:style>
  <w:style w:type="paragraph" w:styleId="Footer">
    <w:name w:val="footer"/>
    <w:basedOn w:val="Normal"/>
    <w:link w:val="FooterChar"/>
    <w:uiPriority w:val="99"/>
    <w:semiHidden/>
    <w:unhideWhenUsed/>
    <w:rsid w:val="00531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2EC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table" w:styleId="TableGrid">
    <w:name w:val="Table Grid"/>
    <w:basedOn w:val="TableNormal"/>
    <w:uiPriority w:val="59"/>
    <w:rsid w:val="00DC4131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Role">
    <w:name w:val="SCC.Lsoc.PartyRole"/>
    <w:basedOn w:val="Normal"/>
    <w:next w:val="Normal"/>
    <w:link w:val="SCCLsocPartyRoleChar"/>
    <w:rsid w:val="00DC4131"/>
    <w:pPr>
      <w:jc w:val="center"/>
    </w:pPr>
    <w:rPr>
      <w:rFonts w:eastAsiaTheme="minorHAnsi" w:cstheme="minorBidi"/>
      <w:szCs w:val="24"/>
      <w:lang w:eastAsia="en-US"/>
    </w:rPr>
  </w:style>
  <w:style w:type="character" w:customStyle="1" w:styleId="SCCLsocPartyRoleChar">
    <w:name w:val="SCC.Lsoc.PartyRole Char"/>
    <w:basedOn w:val="DefaultParagraphFont"/>
    <w:link w:val="SCCLsocPartyRole"/>
    <w:rsid w:val="00DC4131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DC4131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DC4131"/>
    <w:rPr>
      <w:rFonts w:ascii="Times New Roman" w:hAnsi="Times New Roman"/>
      <w:b/>
      <w:smallCaps/>
      <w:sz w:val="24"/>
      <w:szCs w:val="24"/>
      <w:lang w:val="fr-CA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DC4131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DC4131"/>
    <w:rPr>
      <w:rFonts w:ascii="Times New Roman" w:eastAsia="Times New Roman" w:hAnsi="Times New Roman" w:cs="Times New Roman"/>
      <w:b/>
      <w:sz w:val="24"/>
      <w:szCs w:val="20"/>
      <w:lang w:val="fr-CA" w:eastAsia="en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DC4131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DC4131"/>
    <w:rPr>
      <w:rFonts w:ascii="Times New Roman" w:eastAsia="Times New Roman" w:hAnsi="Times New Roman" w:cs="Times New Roman"/>
      <w:b/>
      <w:sz w:val="24"/>
      <w:szCs w:val="20"/>
      <w:lang w:val="fr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6A3A-5149-4AF0-8990-2EFDF3FB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2012-02-14T18:39:00Z</dcterms:created>
  <dcterms:modified xsi:type="dcterms:W3CDTF">2012-09-10T19:38:00Z</dcterms:modified>
</cp:coreProperties>
</file>