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1" w:rsidRDefault="006F6801" w:rsidP="006F6801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408797298" r:id="rId9"/>
        </w:object>
      </w:r>
      <w:r>
        <w:t xml:space="preserve"> </w:t>
      </w:r>
      <w:r>
        <w:ptab w:relativeTo="margin" w:alignment="right" w:leader="none"/>
      </w:r>
    </w:p>
    <w:p w:rsidR="006F6801" w:rsidRDefault="006F6801" w:rsidP="006F6801">
      <w:pPr>
        <w:pStyle w:val="Header"/>
      </w:pPr>
    </w:p>
    <w:p w:rsidR="006F6801" w:rsidRPr="001E12E2" w:rsidRDefault="006F6801" w:rsidP="006F6801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F6801" w:rsidRDefault="006F6801" w:rsidP="006F6801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F6801" w:rsidRPr="001E12E2" w:rsidTr="00563911">
        <w:trPr>
          <w:cantSplit/>
        </w:trPr>
        <w:tc>
          <w:tcPr>
            <w:tcW w:w="6768" w:type="dxa"/>
          </w:tcPr>
          <w:p w:rsidR="006F6801" w:rsidRDefault="006F6801" w:rsidP="00563911">
            <w:pPr>
              <w:rPr>
                <w:rStyle w:val="SCCRespondentForIndexChar"/>
                <w:b w:val="0"/>
              </w:rPr>
            </w:pPr>
            <w:r w:rsidRPr="00035043">
              <w:rPr>
                <w:b/>
                <w:smallCaps/>
              </w:rPr>
              <w:t xml:space="preserve">Référence </w:t>
            </w:r>
            <w:proofErr w:type="gramStart"/>
            <w:r w:rsidRPr="00035043">
              <w:rPr>
                <w:b/>
              </w:rPr>
              <w:t>:</w:t>
            </w:r>
            <w:r w:rsidRPr="00035043">
              <w:t xml:space="preserve">  </w:t>
            </w:r>
            <w:r>
              <w:t>R</w:t>
            </w:r>
            <w:proofErr w:type="gramEnd"/>
            <w:r>
              <w:t>.</w:t>
            </w:r>
            <w:r w:rsidRPr="00035043">
              <w:rPr>
                <w:rStyle w:val="SCCAppellantForIndexChar"/>
                <w:b w:val="0"/>
              </w:rPr>
              <w:t xml:space="preserve"> </w:t>
            </w:r>
            <w:r w:rsidRPr="00035043">
              <w:rPr>
                <w:i/>
              </w:rPr>
              <w:t>c.</w:t>
            </w:r>
            <w:r w:rsidRPr="00035043">
              <w:t xml:space="preserve"> </w:t>
            </w:r>
            <w:r>
              <w:t>T.L.M.</w:t>
            </w:r>
            <w:r w:rsidRPr="00035043">
              <w:rPr>
                <w:rStyle w:val="SCCRespondentForIndexChar"/>
              </w:rPr>
              <w:t>,</w:t>
            </w:r>
          </w:p>
          <w:p w:rsidR="006F6801" w:rsidRPr="006F6801" w:rsidRDefault="006F6801" w:rsidP="00563911">
            <w:pPr>
              <w:rPr>
                <w:b/>
              </w:rPr>
            </w:pPr>
            <w:r w:rsidRPr="006F6801">
              <w:rPr>
                <w:rStyle w:val="SCCRespondentForIndexChar"/>
                <w:b w:val="0"/>
              </w:rPr>
              <w:t>2012 CSC 6, [2012] 1 R.C.S. 233</w:t>
            </w:r>
          </w:p>
        </w:tc>
        <w:tc>
          <w:tcPr>
            <w:tcW w:w="2808" w:type="dxa"/>
          </w:tcPr>
          <w:p w:rsidR="006F6801" w:rsidRPr="001E12E2" w:rsidRDefault="006F6801" w:rsidP="00563911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20120214</w:t>
            </w:r>
          </w:p>
          <w:p w:rsidR="006F6801" w:rsidRPr="001E12E2" w:rsidRDefault="006F6801" w:rsidP="00563911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34288</w:t>
            </w:r>
          </w:p>
        </w:tc>
      </w:tr>
    </w:tbl>
    <w:p w:rsidR="006F6801" w:rsidRPr="001E12E2" w:rsidRDefault="006F6801" w:rsidP="006F6801"/>
    <w:p w:rsidR="006F6801" w:rsidRDefault="006F6801" w:rsidP="006F6801">
      <w:pPr>
        <w:pStyle w:val="SCCLsocPrefix"/>
      </w:pPr>
      <w:proofErr w:type="gramStart"/>
      <w:r>
        <w:t>Entre :</w:t>
      </w:r>
      <w:proofErr w:type="gramEnd"/>
    </w:p>
    <w:p w:rsidR="006F6801" w:rsidRPr="004921B2" w:rsidRDefault="006F6801" w:rsidP="006F6801">
      <w:pPr>
        <w:pStyle w:val="SCCLsocPartyRole"/>
        <w:rPr>
          <w:b/>
        </w:rPr>
      </w:pPr>
      <w:r>
        <w:rPr>
          <w:b/>
        </w:rPr>
        <w:t>Sa Majesté la Reine</w:t>
      </w:r>
    </w:p>
    <w:p w:rsidR="006F6801" w:rsidRDefault="006F6801" w:rsidP="006F6801">
      <w:pPr>
        <w:pStyle w:val="SCCLsocPartyRole"/>
      </w:pPr>
      <w:r>
        <w:t>Appelante</w:t>
      </w:r>
    </w:p>
    <w:p w:rsidR="006F6801" w:rsidRDefault="006F6801" w:rsidP="006F6801">
      <w:pPr>
        <w:pStyle w:val="SCCLsocVersus"/>
        <w:jc w:val="center"/>
      </w:pPr>
      <w:proofErr w:type="gramStart"/>
      <w:r>
        <w:t>et</w:t>
      </w:r>
      <w:proofErr w:type="gramEnd"/>
    </w:p>
    <w:p w:rsidR="006F6801" w:rsidRDefault="006F6801" w:rsidP="006F6801">
      <w:pPr>
        <w:pStyle w:val="SCCLsocParty"/>
        <w:jc w:val="center"/>
      </w:pPr>
      <w:r>
        <w:t>T.L.M.</w:t>
      </w:r>
    </w:p>
    <w:p w:rsidR="006F6801" w:rsidRDefault="006F6801" w:rsidP="006F6801">
      <w:pPr>
        <w:pStyle w:val="SCCLsocPartyRole"/>
      </w:pPr>
      <w:r>
        <w:t>Intimé</w:t>
      </w:r>
    </w:p>
    <w:p w:rsidR="006F6801" w:rsidRDefault="006F6801" w:rsidP="006F6801"/>
    <w:p w:rsidR="006F6801" w:rsidRPr="001E12E2" w:rsidRDefault="006F6801" w:rsidP="006F6801">
      <w:pPr>
        <w:jc w:val="center"/>
        <w:rPr>
          <w:b/>
          <w:smallCaps/>
        </w:rPr>
      </w:pPr>
      <w:r>
        <w:rPr>
          <w:b/>
          <w:smallCaps/>
        </w:rPr>
        <w:t>Traduction française 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</w:p>
    <w:p w:rsidR="006F6801" w:rsidRPr="001E12E2" w:rsidRDefault="006F6801" w:rsidP="006F6801"/>
    <w:p w:rsidR="006F6801" w:rsidRDefault="006F6801" w:rsidP="006F6801">
      <w:r w:rsidRPr="001E12E2">
        <w:rPr>
          <w:b/>
          <w:smallCaps/>
        </w:rPr>
        <w:t xml:space="preserve">Coram </w:t>
      </w:r>
      <w:r w:rsidRPr="001E12E2">
        <w:t xml:space="preserve">: </w:t>
      </w:r>
      <w:r>
        <w:t xml:space="preserve">Les juge </w:t>
      </w:r>
      <w:r w:rsidRPr="0082753E">
        <w:t xml:space="preserve">Deschamps, Fish, Abella, </w:t>
      </w:r>
      <w:proofErr w:type="spellStart"/>
      <w:r w:rsidRPr="0082753E">
        <w:t>Rothstein</w:t>
      </w:r>
      <w:proofErr w:type="spellEnd"/>
      <w:r w:rsidRPr="0082753E">
        <w:t xml:space="preserve">, Cromwell, </w:t>
      </w:r>
      <w:proofErr w:type="spellStart"/>
      <w:r w:rsidRPr="0082753E">
        <w:t>Moldaver</w:t>
      </w:r>
      <w:proofErr w:type="spellEnd"/>
      <w:r w:rsidRPr="0082753E">
        <w:t xml:space="preserve"> et </w:t>
      </w:r>
      <w:proofErr w:type="spellStart"/>
      <w:r w:rsidRPr="0082753E">
        <w:t>Karakatsanis</w:t>
      </w:r>
      <w:proofErr w:type="spellEnd"/>
      <w:r w:rsidRPr="0082753E">
        <w:t>.</w:t>
      </w:r>
    </w:p>
    <w:p w:rsidR="006F6801" w:rsidRPr="001E12E2" w:rsidRDefault="006F6801" w:rsidP="006F68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F6801" w:rsidRPr="001E12E2" w:rsidTr="00563911">
        <w:trPr>
          <w:cantSplit/>
        </w:trPr>
        <w:tc>
          <w:tcPr>
            <w:tcW w:w="3618" w:type="dxa"/>
          </w:tcPr>
          <w:p w:rsidR="006F6801" w:rsidRDefault="006F6801" w:rsidP="00563911"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r w:rsidRPr="001E12E2">
              <w:t xml:space="preserve"> :</w:t>
            </w:r>
          </w:p>
          <w:p w:rsidR="006F6801" w:rsidRPr="001E12E2" w:rsidRDefault="006F6801" w:rsidP="00563911">
            <w:r>
              <w:t>(par. 1 à 2)</w:t>
            </w:r>
          </w:p>
        </w:tc>
        <w:tc>
          <w:tcPr>
            <w:tcW w:w="5958" w:type="dxa"/>
          </w:tcPr>
          <w:p w:rsidR="006F6801" w:rsidRDefault="006F6801" w:rsidP="00563911">
            <w:r>
              <w:t>La juge Deschamps (</w:t>
            </w:r>
            <w:r w:rsidRPr="004921B2">
              <w:t>avec l’accord de</w:t>
            </w:r>
            <w:r>
              <w:t>s juges Fish,</w:t>
            </w:r>
            <w:r w:rsidRPr="0082753E">
              <w:t xml:space="preserve"> Abella, </w:t>
            </w:r>
            <w:proofErr w:type="spellStart"/>
            <w:r w:rsidRPr="0082753E">
              <w:t>Rothstein</w:t>
            </w:r>
            <w:proofErr w:type="spellEnd"/>
            <w:r w:rsidRPr="0082753E">
              <w:t xml:space="preserve">, Cromwell, </w:t>
            </w:r>
            <w:proofErr w:type="spellStart"/>
            <w:r w:rsidRPr="0082753E">
              <w:t>Moldaver</w:t>
            </w:r>
            <w:proofErr w:type="spellEnd"/>
            <w:r w:rsidRPr="0082753E">
              <w:t xml:space="preserve"> et </w:t>
            </w:r>
            <w:proofErr w:type="spellStart"/>
            <w:r w:rsidRPr="0082753E">
              <w:t>Karakatsanis</w:t>
            </w:r>
            <w:proofErr w:type="spellEnd"/>
            <w:r w:rsidRPr="0082753E">
              <w:t>)</w:t>
            </w:r>
          </w:p>
          <w:p w:rsidR="006F6801" w:rsidRPr="001E12E2" w:rsidRDefault="006F6801" w:rsidP="00563911"/>
        </w:tc>
      </w:tr>
    </w:tbl>
    <w:p w:rsidR="006F6801" w:rsidRPr="001E12E2" w:rsidRDefault="006F6801" w:rsidP="006F6801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6F6801" w:rsidRDefault="006F6801">
      <w:r>
        <w:br w:type="page"/>
      </w:r>
    </w:p>
    <w:p w:rsidR="00896EEA" w:rsidRPr="00CB36F8" w:rsidRDefault="00D96C06" w:rsidP="00896EEA">
      <w:pPr>
        <w:spacing w:line="480" w:lineRule="auto"/>
        <w:jc w:val="both"/>
        <w:rPr>
          <w:smallCaps/>
        </w:rPr>
      </w:pPr>
      <w:r w:rsidRPr="00D96C06">
        <w:lastRenderedPageBreak/>
        <w:t xml:space="preserve">R. </w:t>
      </w:r>
      <w:r w:rsidRPr="00D96C06">
        <w:rPr>
          <w:i/>
        </w:rPr>
        <w:t>c.</w:t>
      </w:r>
      <w:r w:rsidRPr="00D96C06">
        <w:t xml:space="preserve"> T.L.M.,</w:t>
      </w:r>
      <w:r>
        <w:rPr>
          <w:b/>
        </w:rPr>
        <w:t xml:space="preserve"> </w:t>
      </w:r>
      <w:r w:rsidR="00CB36F8">
        <w:rPr>
          <w:smallCaps/>
        </w:rPr>
        <w:t>2012 CSC 6, [2012] 1 R.C.S. 233</w:t>
      </w:r>
    </w:p>
    <w:p w:rsidR="00CB36F8" w:rsidRPr="007D4999" w:rsidRDefault="00CB36F8" w:rsidP="00896EEA">
      <w:pPr>
        <w:spacing w:line="480" w:lineRule="auto"/>
        <w:jc w:val="both"/>
        <w:rPr>
          <w:rStyle w:val="SCCRespondentForRunningHeadChar"/>
          <w:lang w:val="fr-FR"/>
        </w:rPr>
      </w:pPr>
    </w:p>
    <w:p w:rsidR="00896EEA" w:rsidRPr="007D4999" w:rsidRDefault="00D423CE" w:rsidP="00896EEA">
      <w:pPr>
        <w:pStyle w:val="SCCLsocParty"/>
        <w:tabs>
          <w:tab w:val="right" w:pos="8280"/>
        </w:tabs>
        <w:spacing w:line="480" w:lineRule="auto"/>
      </w:pPr>
      <w:r w:rsidRPr="007D4999">
        <w:rPr>
          <w:lang w:val="fr-FR"/>
        </w:rPr>
        <w:t>Sa Majesté la Reine</w:t>
      </w:r>
      <w:r w:rsidR="00896EEA" w:rsidRPr="007D4999">
        <w:rPr>
          <w:lang w:val="fr-FR"/>
        </w:rPr>
        <w:tab/>
      </w:r>
      <w:r w:rsidR="00896EEA" w:rsidRPr="007D4999">
        <w:rPr>
          <w:b w:val="0"/>
          <w:i/>
          <w:lang w:val="fr-FR"/>
        </w:rPr>
        <w:t>Appelante</w:t>
      </w:r>
    </w:p>
    <w:p w:rsidR="00896EEA" w:rsidRPr="007D4999" w:rsidRDefault="00896EEA" w:rsidP="00896EEA">
      <w:pPr>
        <w:pStyle w:val="SCCLsocParty"/>
        <w:tabs>
          <w:tab w:val="right" w:pos="8280"/>
        </w:tabs>
        <w:spacing w:line="480" w:lineRule="auto"/>
        <w:rPr>
          <w:lang w:val="fr-FR"/>
        </w:rPr>
      </w:pPr>
    </w:p>
    <w:p w:rsidR="00896EEA" w:rsidRPr="007D4999" w:rsidRDefault="00896EEA" w:rsidP="00896EEA">
      <w:pPr>
        <w:pStyle w:val="SCCLsocVersus"/>
        <w:spacing w:line="480" w:lineRule="auto"/>
        <w:rPr>
          <w:lang w:val="fr-FR"/>
        </w:rPr>
      </w:pPr>
      <w:proofErr w:type="gramStart"/>
      <w:r w:rsidRPr="007D4999">
        <w:rPr>
          <w:lang w:val="fr-FR"/>
        </w:rPr>
        <w:t>c</w:t>
      </w:r>
      <w:proofErr w:type="gramEnd"/>
      <w:r w:rsidRPr="007D4999">
        <w:rPr>
          <w:lang w:val="fr-FR"/>
        </w:rPr>
        <w:t>.</w:t>
      </w:r>
    </w:p>
    <w:p w:rsidR="00896EEA" w:rsidRPr="007D4999" w:rsidRDefault="00896EEA" w:rsidP="00896EEA">
      <w:pPr>
        <w:pStyle w:val="SCCLsocVersus"/>
        <w:spacing w:line="480" w:lineRule="auto"/>
        <w:rPr>
          <w:lang w:val="fr-FR"/>
        </w:rPr>
      </w:pPr>
    </w:p>
    <w:p w:rsidR="00896EEA" w:rsidRPr="007D4999" w:rsidRDefault="00D423CE" w:rsidP="00896EEA">
      <w:pPr>
        <w:pStyle w:val="SCCLsocParty"/>
        <w:tabs>
          <w:tab w:val="right" w:pos="8280"/>
        </w:tabs>
        <w:spacing w:line="480" w:lineRule="auto"/>
        <w:rPr>
          <w:lang w:val="fr-FR"/>
        </w:rPr>
      </w:pPr>
      <w:r w:rsidRPr="007D4999">
        <w:rPr>
          <w:lang w:val="fr-FR"/>
        </w:rPr>
        <w:t>T.L.M.</w:t>
      </w:r>
      <w:r w:rsidR="00896EEA" w:rsidRPr="007D4999">
        <w:rPr>
          <w:i/>
          <w:lang w:val="fr-FR"/>
        </w:rPr>
        <w:tab/>
      </w:r>
      <w:r w:rsidR="00896EEA" w:rsidRPr="007D4999">
        <w:rPr>
          <w:b w:val="0"/>
          <w:i/>
          <w:lang w:val="fr-FR"/>
        </w:rPr>
        <w:t>Intimé</w:t>
      </w: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</w:p>
    <w:p w:rsidR="00896EEA" w:rsidRPr="007D4999" w:rsidRDefault="00896EEA" w:rsidP="00896EEA">
      <w:pPr>
        <w:jc w:val="both"/>
        <w:rPr>
          <w:b/>
          <w:lang w:val="fr-FR"/>
        </w:rPr>
      </w:pPr>
      <w:r w:rsidRPr="007D4999">
        <w:rPr>
          <w:b/>
        </w:rPr>
        <w:t>Répertorié : </w:t>
      </w:r>
      <w:r w:rsidR="00D423CE" w:rsidRPr="007D4999">
        <w:rPr>
          <w:b/>
        </w:rPr>
        <w:t xml:space="preserve">R. </w:t>
      </w:r>
      <w:r w:rsidR="00D423CE" w:rsidRPr="007D4999">
        <w:rPr>
          <w:b/>
          <w:i/>
        </w:rPr>
        <w:t>c.</w:t>
      </w:r>
      <w:r w:rsidR="00D423CE" w:rsidRPr="007D4999">
        <w:rPr>
          <w:b/>
        </w:rPr>
        <w:t xml:space="preserve"> T.L.M.</w:t>
      </w: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</w:p>
    <w:p w:rsidR="00896EEA" w:rsidRPr="007D4999" w:rsidRDefault="00D423CE" w:rsidP="00896EEA">
      <w:pPr>
        <w:pStyle w:val="SCCSystemYear"/>
        <w:spacing w:line="480" w:lineRule="auto"/>
        <w:jc w:val="both"/>
        <w:rPr>
          <w:lang w:val="fr-FR"/>
        </w:rPr>
      </w:pPr>
      <w:r w:rsidRPr="007D4999">
        <w:rPr>
          <w:lang w:val="fr-FR"/>
        </w:rPr>
        <w:t>2012 CSC 6</w:t>
      </w: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  <w:r w:rsidRPr="007D4999">
        <w:t>N</w:t>
      </w:r>
      <w:r w:rsidRPr="007D4999">
        <w:rPr>
          <w:vertAlign w:val="superscript"/>
        </w:rPr>
        <w:t>o</w:t>
      </w:r>
      <w:r w:rsidRPr="007D4999">
        <w:t xml:space="preserve"> du greffe : </w:t>
      </w:r>
      <w:r w:rsidRPr="007D4999">
        <w:rPr>
          <w:lang w:val="fr-FR"/>
        </w:rPr>
        <w:t>3</w:t>
      </w:r>
      <w:r w:rsidR="0023165F" w:rsidRPr="007D4999">
        <w:rPr>
          <w:lang w:val="fr-FR"/>
        </w:rPr>
        <w:t>4288</w:t>
      </w:r>
      <w:r w:rsidRPr="007D4999">
        <w:rPr>
          <w:lang w:val="fr-FR"/>
        </w:rPr>
        <w:t>.</w:t>
      </w: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  <w:r w:rsidRPr="007D4999">
        <w:rPr>
          <w:lang w:val="fr-FR"/>
        </w:rPr>
        <w:t>2012 : 1</w:t>
      </w:r>
      <w:r w:rsidR="00891933" w:rsidRPr="007D4999">
        <w:rPr>
          <w:lang w:val="fr-FR"/>
        </w:rPr>
        <w:t>4 février</w:t>
      </w:r>
      <w:r w:rsidRPr="007D4999">
        <w:rPr>
          <w:lang w:val="fr-FR"/>
        </w:rPr>
        <w:t>.</w:t>
      </w:r>
    </w:p>
    <w:p w:rsidR="00896EEA" w:rsidRPr="007D4999" w:rsidRDefault="00896EEA" w:rsidP="00896EEA">
      <w:pPr>
        <w:spacing w:line="480" w:lineRule="auto"/>
        <w:jc w:val="both"/>
        <w:rPr>
          <w:lang w:val="fr-FR"/>
        </w:rPr>
      </w:pPr>
    </w:p>
    <w:p w:rsidR="00896EEA" w:rsidRPr="007D4999" w:rsidRDefault="00896EEA" w:rsidP="00896EEA">
      <w:pPr>
        <w:jc w:val="both"/>
        <w:rPr>
          <w:lang w:val="fr-FR"/>
        </w:rPr>
      </w:pPr>
      <w:r w:rsidRPr="007D4999">
        <w:rPr>
          <w:lang w:val="fr-FR"/>
        </w:rPr>
        <w:t xml:space="preserve">Présents : Les juges Deschamps, </w:t>
      </w:r>
      <w:r w:rsidR="00B42D9B" w:rsidRPr="007D4999">
        <w:rPr>
          <w:lang w:val="fr-FR"/>
        </w:rPr>
        <w:t xml:space="preserve">Fish, </w:t>
      </w:r>
      <w:r w:rsidRPr="007D4999">
        <w:rPr>
          <w:lang w:val="fr-FR"/>
        </w:rPr>
        <w:t>Abella, Rothstein, Cromwell, Moldaver et Karakatsanis.</w:t>
      </w:r>
    </w:p>
    <w:p w:rsidR="00896EEA" w:rsidRPr="007D4999" w:rsidRDefault="00896EEA" w:rsidP="00896EEA">
      <w:pPr>
        <w:spacing w:line="480" w:lineRule="auto"/>
        <w:jc w:val="both"/>
        <w:rPr>
          <w:szCs w:val="24"/>
          <w:lang w:val="fr-FR"/>
        </w:rPr>
      </w:pPr>
    </w:p>
    <w:p w:rsidR="00896EEA" w:rsidRPr="007D4999" w:rsidRDefault="00896EEA" w:rsidP="00896EEA">
      <w:pPr>
        <w:spacing w:line="480" w:lineRule="auto"/>
        <w:jc w:val="both"/>
        <w:rPr>
          <w:smallCaps/>
          <w:szCs w:val="24"/>
          <w:lang w:val="fr-FR"/>
        </w:rPr>
      </w:pPr>
      <w:r w:rsidRPr="007D4999">
        <w:rPr>
          <w:smallCaps/>
          <w:szCs w:val="24"/>
        </w:rPr>
        <w:t>en appel de la cour d’appel</w:t>
      </w:r>
      <w:r w:rsidR="0034234C" w:rsidRPr="007D4999">
        <w:rPr>
          <w:smallCaps/>
          <w:szCs w:val="24"/>
        </w:rPr>
        <w:t xml:space="preserve"> de terre-neuve-et-labrador</w:t>
      </w:r>
    </w:p>
    <w:p w:rsidR="00896EEA" w:rsidRPr="007D4999" w:rsidRDefault="00896EEA" w:rsidP="00896EEA">
      <w:pPr>
        <w:pStyle w:val="SCCNormalDoubleSpacing"/>
        <w:rPr>
          <w:szCs w:val="24"/>
        </w:rPr>
      </w:pPr>
    </w:p>
    <w:p w:rsidR="005551CD" w:rsidRPr="007D4999" w:rsidRDefault="00896EEA" w:rsidP="003B787F">
      <w:pPr>
        <w:pStyle w:val="SCCNormalDoubleSpacing"/>
        <w:tabs>
          <w:tab w:val="left" w:pos="1170"/>
        </w:tabs>
        <w:spacing w:after="480"/>
        <w:rPr>
          <w:i/>
        </w:rPr>
      </w:pPr>
      <w:r w:rsidRPr="007D4999">
        <w:rPr>
          <w:i/>
        </w:rPr>
        <w:tab/>
      </w:r>
      <w:r w:rsidR="005551CD" w:rsidRPr="007D4999">
        <w:rPr>
          <w:i/>
        </w:rPr>
        <w:t>Droit criminel</w:t>
      </w:r>
      <w:r w:rsidR="00D6026D" w:rsidRPr="007D4999">
        <w:rPr>
          <w:i/>
        </w:rPr>
        <w:t xml:space="preserve"> — Preuve —</w:t>
      </w:r>
      <w:r w:rsidR="005551CD" w:rsidRPr="007D4999">
        <w:rPr>
          <w:i/>
        </w:rPr>
        <w:t xml:space="preserve"> Preuve de faits similaires </w:t>
      </w:r>
      <w:r w:rsidR="00D6026D" w:rsidRPr="007D4999">
        <w:rPr>
          <w:i/>
        </w:rPr>
        <w:t>—</w:t>
      </w:r>
      <w:r w:rsidR="005551CD" w:rsidRPr="007D4999">
        <w:rPr>
          <w:i/>
        </w:rPr>
        <w:t xml:space="preserve"> Admissibilité d’éléments de preuve de faits similaires concernant une déclaration de culpabilité pour agression sexuelle prononcée </w:t>
      </w:r>
      <w:r w:rsidR="00D6026D" w:rsidRPr="007D4999">
        <w:rPr>
          <w:i/>
        </w:rPr>
        <w:t>antérieurement contre l’accusé —</w:t>
      </w:r>
      <w:r w:rsidR="005551CD" w:rsidRPr="007D4999">
        <w:rPr>
          <w:i/>
        </w:rPr>
        <w:t xml:space="preserve"> Le juge du procès n’a pas commis d’erreur en admettant cette preuve de faits similaires</w:t>
      </w:r>
      <w:r w:rsidR="00F60565">
        <w:rPr>
          <w:i/>
        </w:rPr>
        <w:t>.</w:t>
      </w: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  <w:rPr>
          <w:i/>
        </w:rPr>
      </w:pP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  <w:rPr>
          <w:lang w:val="fr-FR"/>
        </w:rPr>
      </w:pPr>
      <w:r w:rsidRPr="007D4999">
        <w:tab/>
        <w:t xml:space="preserve">POURVOI contre un arrêt de la Cour d’appel </w:t>
      </w:r>
      <w:r w:rsidR="008432F2" w:rsidRPr="007D4999">
        <w:t xml:space="preserve">de Terre-Neuve-et-Labrador </w:t>
      </w:r>
      <w:r w:rsidRPr="007D4999">
        <w:rPr>
          <w:lang w:val="fr-FR"/>
        </w:rPr>
        <w:t xml:space="preserve">(les juges </w:t>
      </w:r>
      <w:proofErr w:type="spellStart"/>
      <w:r w:rsidR="008432F2" w:rsidRPr="007D4999">
        <w:rPr>
          <w:lang w:val="fr-FR"/>
        </w:rPr>
        <w:t>Welsh</w:t>
      </w:r>
      <w:proofErr w:type="spellEnd"/>
      <w:r w:rsidRPr="007D4999">
        <w:rPr>
          <w:lang w:val="fr-FR"/>
        </w:rPr>
        <w:t xml:space="preserve">, </w:t>
      </w:r>
      <w:r w:rsidR="008432F2" w:rsidRPr="007D4999">
        <w:rPr>
          <w:lang w:val="fr-FR"/>
        </w:rPr>
        <w:t>Rowe</w:t>
      </w:r>
      <w:r w:rsidRPr="007D4999">
        <w:rPr>
          <w:lang w:val="fr-FR"/>
        </w:rPr>
        <w:t xml:space="preserve"> et </w:t>
      </w:r>
      <w:proofErr w:type="spellStart"/>
      <w:r w:rsidR="008432F2" w:rsidRPr="007D4999">
        <w:rPr>
          <w:lang w:val="fr-FR"/>
        </w:rPr>
        <w:t>Hoegg</w:t>
      </w:r>
      <w:proofErr w:type="spellEnd"/>
      <w:r w:rsidRPr="007D4999">
        <w:rPr>
          <w:lang w:val="fr-FR"/>
        </w:rPr>
        <w:t xml:space="preserve">), </w:t>
      </w:r>
      <w:r w:rsidR="001F0675" w:rsidRPr="007D4999">
        <w:t>2011</w:t>
      </w:r>
      <w:r w:rsidR="008432F2" w:rsidRPr="007D4999">
        <w:t xml:space="preserve"> NLCA 24, 307 Nfld. &amp; P.E.I.R. 262, 954 A.P.R. 262, 271 C.C.C. (3d) 148, 85 C.R. (6th) 170, [2011] N.J</w:t>
      </w:r>
      <w:r w:rsidR="001F0675" w:rsidRPr="007D4999">
        <w:t xml:space="preserve">. No. 118 (QL), 2011 </w:t>
      </w:r>
      <w:proofErr w:type="spellStart"/>
      <w:r w:rsidR="001F0675" w:rsidRPr="007D4999">
        <w:t>CarswellNfld</w:t>
      </w:r>
      <w:proofErr w:type="spellEnd"/>
      <w:r w:rsidR="008432F2" w:rsidRPr="007D4999">
        <w:t xml:space="preserve"> 115</w:t>
      </w:r>
      <w:r w:rsidRPr="007D4999">
        <w:t xml:space="preserve">, </w:t>
      </w:r>
      <w:r w:rsidRPr="007D4999">
        <w:rPr>
          <w:lang w:val="fr-FR"/>
        </w:rPr>
        <w:t xml:space="preserve">qui a </w:t>
      </w:r>
      <w:r w:rsidR="000E2697" w:rsidRPr="007D4999">
        <w:rPr>
          <w:lang w:val="fr-FR"/>
        </w:rPr>
        <w:t>annulé</w:t>
      </w:r>
      <w:r w:rsidR="00891933" w:rsidRPr="007D4999">
        <w:rPr>
          <w:lang w:val="fr-FR"/>
        </w:rPr>
        <w:t xml:space="preserve"> </w:t>
      </w:r>
      <w:r w:rsidR="00927869" w:rsidRPr="007D4999">
        <w:rPr>
          <w:lang w:val="fr-FR"/>
        </w:rPr>
        <w:t>des</w:t>
      </w:r>
      <w:r w:rsidR="008432F2" w:rsidRPr="007D4999">
        <w:rPr>
          <w:lang w:val="fr-FR"/>
        </w:rPr>
        <w:t xml:space="preserve"> déclaration</w:t>
      </w:r>
      <w:r w:rsidR="00927869" w:rsidRPr="007D4999">
        <w:rPr>
          <w:lang w:val="fr-FR"/>
        </w:rPr>
        <w:t>s</w:t>
      </w:r>
      <w:r w:rsidR="008432F2" w:rsidRPr="007D4999">
        <w:rPr>
          <w:lang w:val="fr-FR"/>
        </w:rPr>
        <w:t xml:space="preserve"> de culpabilité inscrite</w:t>
      </w:r>
      <w:r w:rsidR="00927869" w:rsidRPr="007D4999">
        <w:rPr>
          <w:lang w:val="fr-FR"/>
        </w:rPr>
        <w:t>s</w:t>
      </w:r>
      <w:r w:rsidR="008432F2" w:rsidRPr="007D4999">
        <w:rPr>
          <w:lang w:val="fr-FR"/>
        </w:rPr>
        <w:t xml:space="preserve"> par le juge Adams</w:t>
      </w:r>
      <w:r w:rsidRPr="007D4999">
        <w:rPr>
          <w:lang w:val="fr-FR"/>
        </w:rPr>
        <w:t>,</w:t>
      </w:r>
      <w:r w:rsidR="008432F2" w:rsidRPr="007D4999">
        <w:t xml:space="preserve"> 2010 NLTD 12, 294 Nfld. </w:t>
      </w:r>
      <w:r w:rsidR="008432F2" w:rsidRPr="007D4999">
        <w:rPr>
          <w:lang w:val="en-US"/>
        </w:rPr>
        <w:t xml:space="preserve">&amp; P.E.I.R. 308, 908 A.P.R. 308, [2009] N.J. No. </w:t>
      </w:r>
      <w:proofErr w:type="gramStart"/>
      <w:r w:rsidR="008432F2" w:rsidRPr="007D4999">
        <w:rPr>
          <w:lang w:val="en-US"/>
        </w:rPr>
        <w:t xml:space="preserve">374 (QL), 2009 </w:t>
      </w:r>
      <w:proofErr w:type="spellStart"/>
      <w:r w:rsidR="008432F2" w:rsidRPr="007D4999">
        <w:rPr>
          <w:lang w:val="en-US"/>
        </w:rPr>
        <w:t>CarswellNfld</w:t>
      </w:r>
      <w:proofErr w:type="spellEnd"/>
      <w:r w:rsidR="008432F2" w:rsidRPr="007D4999">
        <w:rPr>
          <w:lang w:val="en-US"/>
        </w:rPr>
        <w:t xml:space="preserve"> 356</w:t>
      </w:r>
      <w:r w:rsidRPr="007D4999">
        <w:rPr>
          <w:lang w:val="en-US"/>
        </w:rPr>
        <w:t>.</w:t>
      </w:r>
      <w:proofErr w:type="gramEnd"/>
      <w:r w:rsidRPr="007D4999">
        <w:rPr>
          <w:lang w:val="en-US"/>
        </w:rPr>
        <w:t xml:space="preserve"> </w:t>
      </w:r>
      <w:r w:rsidRPr="007D4999">
        <w:rPr>
          <w:lang w:val="fr-FR"/>
        </w:rPr>
        <w:t xml:space="preserve">Pourvoi </w:t>
      </w:r>
      <w:r w:rsidR="008432F2" w:rsidRPr="007D4999">
        <w:rPr>
          <w:lang w:val="fr-FR"/>
        </w:rPr>
        <w:t>accueilli</w:t>
      </w:r>
      <w:r w:rsidRPr="007D4999">
        <w:rPr>
          <w:lang w:val="fr-FR"/>
        </w:rPr>
        <w:t>.</w:t>
      </w: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7D4999">
        <w:rPr>
          <w:rStyle w:val="SCCCounselNameChar"/>
          <w:lang w:val="fr-FR"/>
        </w:rPr>
        <w:tab/>
      </w:r>
      <w:r w:rsidR="00B42D9B" w:rsidRPr="007D4999">
        <w:rPr>
          <w:rStyle w:val="SCCCounselNameChar"/>
          <w:lang w:val="fr-FR"/>
        </w:rPr>
        <w:t>Stephen R. Dawson</w:t>
      </w:r>
      <w:r w:rsidRPr="007D4999">
        <w:rPr>
          <w:rStyle w:val="SCCCounselPartyRoleChar"/>
          <w:lang w:val="fr-FR"/>
        </w:rPr>
        <w:t xml:space="preserve">, </w:t>
      </w:r>
      <w:r w:rsidRPr="007D4999">
        <w:rPr>
          <w:rStyle w:val="SCCCounselPartyRoleChar"/>
        </w:rPr>
        <w:t>pour l’appelante</w:t>
      </w:r>
      <w:r w:rsidRPr="007D4999">
        <w:rPr>
          <w:rStyle w:val="SCCCounselPartyRoleChar"/>
          <w:lang w:val="fr-FR"/>
        </w:rPr>
        <w:t>.</w:t>
      </w: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  <w:rPr>
          <w:rStyle w:val="SCCCounselPartyRoleChar"/>
          <w:lang w:val="fr-FR"/>
        </w:rPr>
      </w:pPr>
      <w:r w:rsidRPr="007D4999">
        <w:rPr>
          <w:rStyle w:val="SCCCounselPartyRoleChar"/>
          <w:lang w:val="fr-FR"/>
        </w:rPr>
        <w:tab/>
      </w:r>
      <w:r w:rsidR="00B42D9B" w:rsidRPr="007D4999">
        <w:rPr>
          <w:rStyle w:val="SCCCounselPartyRoleChar"/>
          <w:i/>
          <w:lang w:val="fr-FR"/>
        </w:rPr>
        <w:t xml:space="preserve">Derek </w:t>
      </w:r>
      <w:proofErr w:type="spellStart"/>
      <w:r w:rsidR="00B42D9B" w:rsidRPr="007D4999">
        <w:rPr>
          <w:rStyle w:val="SCCCounselPartyRoleChar"/>
          <w:i/>
          <w:lang w:val="fr-FR"/>
        </w:rPr>
        <w:t>Hogan</w:t>
      </w:r>
      <w:proofErr w:type="spellEnd"/>
      <w:r w:rsidRPr="007D4999">
        <w:rPr>
          <w:rStyle w:val="SCCCounselPartyRoleChar"/>
          <w:lang w:val="fr-FR"/>
        </w:rPr>
        <w:t xml:space="preserve">, </w:t>
      </w:r>
      <w:r w:rsidR="00B42D9B" w:rsidRPr="007D4999">
        <w:rPr>
          <w:rStyle w:val="SCCCounselPartyRoleChar"/>
        </w:rPr>
        <w:t>pour l’intimé</w:t>
      </w:r>
      <w:r w:rsidRPr="007D4999">
        <w:rPr>
          <w:rStyle w:val="SCCCounselPartyRoleChar"/>
          <w:lang w:val="fr-FR"/>
        </w:rPr>
        <w:t>.</w:t>
      </w:r>
    </w:p>
    <w:p w:rsidR="00896EEA" w:rsidRPr="007D4999" w:rsidRDefault="00896EEA" w:rsidP="006C3BF8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7D4999">
        <w:rPr>
          <w:szCs w:val="24"/>
        </w:rPr>
        <w:tab/>
      </w:r>
      <w:r w:rsidR="002E571A" w:rsidRPr="007D4999">
        <w:rPr>
          <w:szCs w:val="24"/>
        </w:rPr>
        <w:t xml:space="preserve">Version française du jugement </w:t>
      </w:r>
      <w:r w:rsidR="002815FC" w:rsidRPr="007D4999">
        <w:rPr>
          <w:szCs w:val="24"/>
        </w:rPr>
        <w:t xml:space="preserve">de la Cour </w:t>
      </w:r>
      <w:r w:rsidRPr="007D4999">
        <w:rPr>
          <w:szCs w:val="24"/>
        </w:rPr>
        <w:t>rendu oralement par</w:t>
      </w:r>
    </w:p>
    <w:p w:rsidR="006C3BF8" w:rsidRPr="007D4999" w:rsidRDefault="006C3BF8" w:rsidP="00774E06">
      <w:pPr>
        <w:pStyle w:val="ParaNoNdepar-AltN"/>
        <w:tabs>
          <w:tab w:val="clear" w:pos="1512"/>
          <w:tab w:val="num" w:pos="1152"/>
        </w:tabs>
        <w:ind w:left="0"/>
        <w:rPr>
          <w:lang w:val="fr-CA"/>
        </w:rPr>
      </w:pPr>
      <w:r w:rsidRPr="007D4999">
        <w:rPr>
          <w:smallCaps/>
          <w:lang w:val="fr-CA"/>
        </w:rPr>
        <w:t>La juge Deschamps</w:t>
      </w:r>
      <w:r w:rsidR="00927869" w:rsidRPr="007D4999">
        <w:rPr>
          <w:lang w:val="fr-CA"/>
        </w:rPr>
        <w:t xml:space="preserve"> </w:t>
      </w:r>
      <w:r w:rsidR="00927869" w:rsidRPr="007D4999">
        <w:rPr>
          <w:rFonts w:cs="Times New Roman"/>
          <w:lang w:val="fr-CA"/>
        </w:rPr>
        <w:t>—</w:t>
      </w:r>
      <w:r w:rsidRPr="007D4999">
        <w:rPr>
          <w:lang w:val="fr-CA"/>
        </w:rPr>
        <w:t xml:space="preserve"> Nous partageons l’opinion de la juge </w:t>
      </w:r>
      <w:proofErr w:type="spellStart"/>
      <w:r w:rsidRPr="007D4999">
        <w:rPr>
          <w:lang w:val="fr-CA"/>
        </w:rPr>
        <w:t>Hoegg</w:t>
      </w:r>
      <w:proofErr w:type="spellEnd"/>
      <w:r w:rsidRPr="007D4999">
        <w:rPr>
          <w:lang w:val="fr-CA"/>
        </w:rPr>
        <w:t>, dissidente en Cour d’appel, selon laquelle le juge du procès n’a commis aucune erreur susceptible de révision. L’appel est donc accueilli.</w:t>
      </w:r>
    </w:p>
    <w:p w:rsidR="00774E06" w:rsidRPr="007D4999" w:rsidRDefault="006C3BF8" w:rsidP="00896EEA">
      <w:pPr>
        <w:pStyle w:val="ParaNoNdepar-AltN"/>
        <w:tabs>
          <w:tab w:val="clear" w:pos="1512"/>
          <w:tab w:val="num" w:pos="1152"/>
        </w:tabs>
        <w:ind w:left="0"/>
        <w:rPr>
          <w:i/>
          <w:lang w:val="fr-FR"/>
        </w:rPr>
      </w:pPr>
      <w:r w:rsidRPr="007D4999">
        <w:rPr>
          <w:lang w:val="fr-CA"/>
        </w:rPr>
        <w:t>Après avoir entendu les parties, nous sommes également d’accord avec la juge dissidente pour prononcer l’arrêt des procédures relativement au chef d’accusation n</w:t>
      </w:r>
      <w:r w:rsidRPr="007D4999">
        <w:rPr>
          <w:vertAlign w:val="superscript"/>
          <w:lang w:val="fr-CA"/>
        </w:rPr>
        <w:t>o</w:t>
      </w:r>
      <w:r w:rsidRPr="007D4999">
        <w:rPr>
          <w:lang w:val="fr-CA"/>
        </w:rPr>
        <w:t xml:space="preserve"> 1 et rétablir les déclarations de culpabilité relativement aux autres chefs</w:t>
      </w:r>
      <w:r w:rsidR="001F0675" w:rsidRPr="007D4999">
        <w:rPr>
          <w:lang w:val="fr-CA"/>
        </w:rPr>
        <w:t>.</w:t>
      </w:r>
    </w:p>
    <w:p w:rsidR="00896EEA" w:rsidRPr="007D4999" w:rsidRDefault="00896EEA" w:rsidP="00774E06">
      <w:pPr>
        <w:pStyle w:val="ParaNoNdepar-AltN"/>
        <w:numPr>
          <w:ilvl w:val="0"/>
          <w:numId w:val="0"/>
        </w:numPr>
        <w:tabs>
          <w:tab w:val="left" w:pos="1170"/>
        </w:tabs>
        <w:rPr>
          <w:rStyle w:val="SCCCounselPartyRoleChar"/>
          <w:i/>
          <w:lang w:val="fr-FR"/>
        </w:rPr>
      </w:pPr>
      <w:r w:rsidRPr="007D4999">
        <w:rPr>
          <w:i/>
          <w:lang w:val="fr-FR"/>
        </w:rPr>
        <w:tab/>
      </w:r>
      <w:r w:rsidRPr="007D4999">
        <w:rPr>
          <w:i/>
          <w:lang w:val="fr-CA"/>
        </w:rPr>
        <w:t>Jugement en conséquence.</w:t>
      </w: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</w:pPr>
      <w:r w:rsidRPr="007D4999">
        <w:rPr>
          <w:lang w:val="fr-FR"/>
        </w:rPr>
        <w:lastRenderedPageBreak/>
        <w:tab/>
      </w:r>
      <w:r w:rsidRPr="007D4999">
        <w:rPr>
          <w:i/>
          <w:lang w:val="fr-FR"/>
        </w:rPr>
        <w:t>Procureur de l’appelante :</w:t>
      </w:r>
      <w:r w:rsidR="00E120C4" w:rsidRPr="007D4999">
        <w:rPr>
          <w:i/>
          <w:lang w:val="fr-FR"/>
        </w:rPr>
        <w:t xml:space="preserve"> Procureur général </w:t>
      </w:r>
      <w:r w:rsidR="006D3F6A" w:rsidRPr="007D4999">
        <w:rPr>
          <w:i/>
          <w:lang w:val="fr-FR"/>
        </w:rPr>
        <w:t>de Terre-Neuve-et-Labrador, St. </w:t>
      </w:r>
      <w:r w:rsidR="00E120C4" w:rsidRPr="007D4999">
        <w:rPr>
          <w:i/>
          <w:lang w:val="fr-FR"/>
        </w:rPr>
        <w:t>John’s</w:t>
      </w:r>
      <w:r w:rsidRPr="007D4999">
        <w:rPr>
          <w:i/>
        </w:rPr>
        <w:t>.</w:t>
      </w:r>
    </w:p>
    <w:p w:rsidR="00896EEA" w:rsidRPr="007D4999" w:rsidRDefault="00896EEA" w:rsidP="00896EEA">
      <w:pPr>
        <w:pStyle w:val="SCCNormalDoubleSpacing"/>
        <w:tabs>
          <w:tab w:val="left" w:pos="1170"/>
        </w:tabs>
        <w:spacing w:after="480"/>
        <w:rPr>
          <w:i/>
          <w:lang w:val="en-US"/>
        </w:rPr>
      </w:pPr>
      <w:r w:rsidRPr="007D4999">
        <w:rPr>
          <w:lang w:val="fr-FR"/>
        </w:rPr>
        <w:tab/>
      </w:r>
      <w:r w:rsidR="00927869" w:rsidRPr="007D4999">
        <w:rPr>
          <w:i/>
          <w:lang w:val="en-US"/>
        </w:rPr>
        <w:t>Procureur</w:t>
      </w:r>
      <w:r w:rsidR="00E120C4" w:rsidRPr="007D4999">
        <w:rPr>
          <w:i/>
          <w:lang w:val="en-US"/>
        </w:rPr>
        <w:t xml:space="preserve"> de </w:t>
      </w:r>
      <w:proofErr w:type="gramStart"/>
      <w:r w:rsidR="00E120C4" w:rsidRPr="007D4999">
        <w:rPr>
          <w:i/>
          <w:lang w:val="en-US"/>
        </w:rPr>
        <w:t>l’intimé</w:t>
      </w:r>
      <w:r w:rsidRPr="007D4999">
        <w:rPr>
          <w:i/>
          <w:lang w:val="en-US"/>
        </w:rPr>
        <w:t> :</w:t>
      </w:r>
      <w:proofErr w:type="gramEnd"/>
      <w:r w:rsidR="00E120C4" w:rsidRPr="007D4999">
        <w:rPr>
          <w:i/>
          <w:lang w:val="en-US"/>
        </w:rPr>
        <w:t xml:space="preserve"> Newfoundland and Lab</w:t>
      </w:r>
      <w:r w:rsidR="006D3F6A" w:rsidRPr="007D4999">
        <w:rPr>
          <w:i/>
          <w:lang w:val="en-US"/>
        </w:rPr>
        <w:t>rador Legal Aid Commission, St. </w:t>
      </w:r>
      <w:r w:rsidR="00E120C4" w:rsidRPr="007D4999">
        <w:rPr>
          <w:i/>
          <w:lang w:val="en-US"/>
        </w:rPr>
        <w:t>John’s</w:t>
      </w:r>
      <w:r w:rsidRPr="007D4999">
        <w:rPr>
          <w:i/>
          <w:lang w:val="en-US"/>
        </w:rPr>
        <w:t>.</w:t>
      </w:r>
    </w:p>
    <w:p w:rsidR="00E005E9" w:rsidRPr="007D4999" w:rsidRDefault="00E005E9">
      <w:pPr>
        <w:rPr>
          <w:lang w:val="en-US"/>
        </w:rPr>
      </w:pPr>
    </w:p>
    <w:sectPr w:rsidR="00E005E9" w:rsidRPr="007D4999" w:rsidSect="006D3F6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6D" w:rsidRDefault="00D6026D" w:rsidP="006D3F6A">
      <w:r>
        <w:separator/>
      </w:r>
    </w:p>
  </w:endnote>
  <w:endnote w:type="continuationSeparator" w:id="0">
    <w:p w:rsidR="00D6026D" w:rsidRDefault="00D6026D" w:rsidP="006D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6D" w:rsidRDefault="00D6026D" w:rsidP="006D3F6A">
      <w:r>
        <w:separator/>
      </w:r>
    </w:p>
  </w:footnote>
  <w:footnote w:type="continuationSeparator" w:id="0">
    <w:p w:rsidR="00D6026D" w:rsidRDefault="00D6026D" w:rsidP="006D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32"/>
      <w:docPartObj>
        <w:docPartGallery w:val="Page Numbers (Top of Page)"/>
        <w:docPartUnique/>
      </w:docPartObj>
    </w:sdtPr>
    <w:sdtContent>
      <w:p w:rsidR="00D6026D" w:rsidRDefault="00D6026D">
        <w:pPr>
          <w:pStyle w:val="Header"/>
          <w:jc w:val="center"/>
        </w:pPr>
        <w:r>
          <w:t xml:space="preserve">- </w:t>
        </w:r>
        <w:fldSimple w:instr=" PAGE   \* MERGEFORMAT ">
          <w:r w:rsidR="006F6801">
            <w:rPr>
              <w:noProof/>
            </w:rPr>
            <w:t>4</w:t>
          </w:r>
        </w:fldSimple>
        <w:r>
          <w:t xml:space="preserve"> -</w:t>
        </w:r>
      </w:p>
    </w:sdtContent>
  </w:sdt>
  <w:p w:rsidR="00D6026D" w:rsidRDefault="00D60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EEA"/>
    <w:rsid w:val="00061B37"/>
    <w:rsid w:val="000E2697"/>
    <w:rsid w:val="0010741C"/>
    <w:rsid w:val="001458C3"/>
    <w:rsid w:val="001F0675"/>
    <w:rsid w:val="0023165F"/>
    <w:rsid w:val="002815FC"/>
    <w:rsid w:val="002A0198"/>
    <w:rsid w:val="002E571A"/>
    <w:rsid w:val="0034234C"/>
    <w:rsid w:val="003B787F"/>
    <w:rsid w:val="003D3B6C"/>
    <w:rsid w:val="00465C2D"/>
    <w:rsid w:val="005227D2"/>
    <w:rsid w:val="005551CD"/>
    <w:rsid w:val="005C3DDF"/>
    <w:rsid w:val="0060099F"/>
    <w:rsid w:val="006C3BF8"/>
    <w:rsid w:val="006D3F6A"/>
    <w:rsid w:val="006F6801"/>
    <w:rsid w:val="00774E06"/>
    <w:rsid w:val="007D4999"/>
    <w:rsid w:val="008432F2"/>
    <w:rsid w:val="00891933"/>
    <w:rsid w:val="00896EEA"/>
    <w:rsid w:val="008A660E"/>
    <w:rsid w:val="008E6D14"/>
    <w:rsid w:val="00927869"/>
    <w:rsid w:val="0093794D"/>
    <w:rsid w:val="0094252A"/>
    <w:rsid w:val="00A026D9"/>
    <w:rsid w:val="00A643D4"/>
    <w:rsid w:val="00AC7C7A"/>
    <w:rsid w:val="00B42D9B"/>
    <w:rsid w:val="00C078BF"/>
    <w:rsid w:val="00C8053A"/>
    <w:rsid w:val="00CB36F8"/>
    <w:rsid w:val="00D423CE"/>
    <w:rsid w:val="00D6026D"/>
    <w:rsid w:val="00D9441B"/>
    <w:rsid w:val="00D96C06"/>
    <w:rsid w:val="00DB0FAF"/>
    <w:rsid w:val="00E005E9"/>
    <w:rsid w:val="00E119E4"/>
    <w:rsid w:val="00E120C4"/>
    <w:rsid w:val="00EC3956"/>
    <w:rsid w:val="00EE31FA"/>
    <w:rsid w:val="00F60565"/>
    <w:rsid w:val="00F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EA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896EEA"/>
    <w:rPr>
      <w:sz w:val="24"/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896EEA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896EEA"/>
    <w:rPr>
      <w:b/>
      <w:sz w:val="24"/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96EEA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896EEA"/>
    <w:rPr>
      <w:i/>
      <w:sz w:val="24"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96EEA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896EEA"/>
    <w:rPr>
      <w:smallCaps/>
      <w:sz w:val="24"/>
      <w:lang w:val="fr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896EEA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896EEA"/>
    <w:rPr>
      <w:b/>
      <w:sz w:val="24"/>
      <w:lang w:val="fr-CA"/>
    </w:rPr>
  </w:style>
  <w:style w:type="paragraph" w:customStyle="1" w:styleId="SCCSystemYear">
    <w:name w:val="SCC.SystemYear"/>
    <w:basedOn w:val="Normal"/>
    <w:next w:val="Normal"/>
    <w:link w:val="SCCSystemYearChar"/>
    <w:rsid w:val="00896EEA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896EEA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896EEA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896EEA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896EEA"/>
  </w:style>
  <w:style w:type="paragraph" w:customStyle="1" w:styleId="SCCLsocPrefix">
    <w:name w:val="SCC.Lsoc.Prefix"/>
    <w:basedOn w:val="Normal"/>
    <w:next w:val="Normal"/>
    <w:link w:val="SCCLsocPrefixChar"/>
    <w:rsid w:val="006C3BF8"/>
    <w:rPr>
      <w:rFonts w:eastAsiaTheme="minorHAnsi" w:cstheme="minorBidi"/>
      <w:b/>
      <w:szCs w:val="22"/>
      <w:lang w:val="en-CA" w:eastAsia="en-US"/>
    </w:rPr>
  </w:style>
  <w:style w:type="character" w:customStyle="1" w:styleId="SCCLsocPrefixChar">
    <w:name w:val="SCC.Lsoc.Prefix Char"/>
    <w:basedOn w:val="DefaultParagraphFont"/>
    <w:link w:val="SCCLsocPrefix"/>
    <w:rsid w:val="006C3BF8"/>
    <w:rPr>
      <w:rFonts w:eastAsiaTheme="minorHAnsi" w:cstheme="minorBidi"/>
      <w:b/>
      <w:sz w:val="24"/>
      <w:szCs w:val="22"/>
      <w:lang w:eastAsia="en-US"/>
    </w:rPr>
  </w:style>
  <w:style w:type="paragraph" w:customStyle="1" w:styleId="ParaNoNdepar-AltN">
    <w:name w:val="Para. No. / Nº de par. - Alt N"/>
    <w:qFormat/>
    <w:rsid w:val="006C3BF8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3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6A"/>
    <w:rPr>
      <w:sz w:val="24"/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6D3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F6A"/>
    <w:rPr>
      <w:sz w:val="24"/>
      <w:lang w:val="fr-CA"/>
    </w:rPr>
  </w:style>
  <w:style w:type="table" w:styleId="TableGrid">
    <w:name w:val="Table Grid"/>
    <w:basedOn w:val="TableNormal"/>
    <w:uiPriority w:val="59"/>
    <w:rsid w:val="006F6801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6F6801"/>
    <w:pPr>
      <w:jc w:val="center"/>
    </w:pPr>
    <w:rPr>
      <w:rFonts w:eastAsiaTheme="minorHAnsi" w:cstheme="minorBidi"/>
      <w:szCs w:val="24"/>
      <w:lang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6F6801"/>
    <w:rPr>
      <w:rFonts w:eastAsiaTheme="minorHAnsi" w:cstheme="minorBidi"/>
      <w:sz w:val="24"/>
      <w:szCs w:val="24"/>
      <w:lang w:val="fr-CA" w:eastAsia="en-US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6F6801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6F6801"/>
    <w:rPr>
      <w:b/>
      <w:sz w:val="24"/>
      <w:lang w:val="fr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6F6801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6F6801"/>
    <w:rPr>
      <w:b/>
      <w:sz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1AD-5FC7-4545-95D9-669F091C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2012-04-13T14:30:00Z</dcterms:created>
  <dcterms:modified xsi:type="dcterms:W3CDTF">2012-09-10T19:48:00Z</dcterms:modified>
</cp:coreProperties>
</file>