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C0" w:rsidRDefault="00C276C0" w:rsidP="00C276C0">
      <w:pPr>
        <w:pStyle w:val="Header"/>
      </w:pPr>
      <w:r>
        <w:ptab w:relativeTo="margin" w:alignment="center" w:leader="none"/>
      </w:r>
      <w:r w:rsidRPr="00F72014">
        <w:t xml:space="preserve"> </w:t>
      </w: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64.8pt" o:ole="">
            <v:imagedata r:id="rId8" o:title=""/>
          </v:shape>
          <o:OLEObject Type="Embed" ProgID="Presentations.Drawing.13" ShapeID="_x0000_i1025" DrawAspect="Content" ObjectID="_1409132693" r:id="rId9"/>
        </w:object>
      </w:r>
      <w:r>
        <w:t xml:space="preserve"> </w:t>
      </w:r>
      <w:r>
        <w:ptab w:relativeTo="margin" w:alignment="right" w:leader="none"/>
      </w:r>
    </w:p>
    <w:p w:rsidR="00C276C0" w:rsidRDefault="00C276C0" w:rsidP="00C276C0">
      <w:pPr>
        <w:pStyle w:val="Header"/>
      </w:pPr>
    </w:p>
    <w:p w:rsidR="00C276C0" w:rsidRPr="001E12E2" w:rsidRDefault="00C276C0" w:rsidP="00C276C0">
      <w:pPr>
        <w:jc w:val="center"/>
        <w:rPr>
          <w:b/>
        </w:rPr>
      </w:pPr>
      <w:r w:rsidRPr="001E12E2">
        <w:rPr>
          <w:b/>
        </w:rPr>
        <w:t>COUR SUPRÊME DU CANADA</w:t>
      </w:r>
    </w:p>
    <w:p w:rsidR="00C276C0" w:rsidRDefault="00C276C0" w:rsidP="00C276C0">
      <w:pPr>
        <w:pStyle w:val="Header"/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6768"/>
        <w:gridCol w:w="2808"/>
      </w:tblGrid>
      <w:tr w:rsidR="00C276C0" w:rsidRPr="001E12E2" w:rsidTr="00981F34">
        <w:trPr>
          <w:cantSplit/>
        </w:trPr>
        <w:tc>
          <w:tcPr>
            <w:tcW w:w="6768" w:type="dxa"/>
          </w:tcPr>
          <w:p w:rsidR="00C276C0" w:rsidRPr="001E12E2" w:rsidRDefault="00C276C0" w:rsidP="00981F34">
            <w:r>
              <w:rPr>
                <w:b/>
                <w:smallCaps/>
              </w:rPr>
              <w:t>Référence</w:t>
            </w:r>
            <w:r w:rsidRPr="001E12E2">
              <w:rPr>
                <w:b/>
                <w:smallCaps/>
              </w:rPr>
              <w:t xml:space="preserve"> </w:t>
            </w:r>
            <w:proofErr w:type="gramStart"/>
            <w:r w:rsidRPr="001E12E2">
              <w:t xml:space="preserve">: </w:t>
            </w:r>
            <w:r>
              <w:t xml:space="preserve"> </w:t>
            </w:r>
            <w:r w:rsidRPr="004E7A6A">
              <w:rPr>
                <w:rStyle w:val="SCCAppellantForIndexChar"/>
                <w:rFonts w:eastAsiaTheme="minorHAnsi"/>
                <w:b w:val="0"/>
              </w:rPr>
              <w:t>R</w:t>
            </w:r>
            <w:proofErr w:type="gramEnd"/>
            <w:r w:rsidRPr="004E7A6A">
              <w:rPr>
                <w:rStyle w:val="SCCAppellantForIndexChar"/>
                <w:rFonts w:eastAsiaTheme="minorHAnsi"/>
                <w:b w:val="0"/>
              </w:rPr>
              <w:t>.</w:t>
            </w:r>
            <w:r w:rsidRPr="004E7A6A">
              <w:rPr>
                <w:b/>
              </w:rPr>
              <w:t xml:space="preserve"> </w:t>
            </w:r>
            <w:r w:rsidRPr="004E7A6A">
              <w:rPr>
                <w:i/>
              </w:rPr>
              <w:t>c.</w:t>
            </w:r>
            <w:r w:rsidRPr="0091710D">
              <w:t xml:space="preserve"> </w:t>
            </w:r>
            <w:proofErr w:type="spellStart"/>
            <w:r w:rsidRPr="0091710D">
              <w:t>E</w:t>
            </w:r>
            <w:r>
              <w:t>astgaard</w:t>
            </w:r>
            <w:proofErr w:type="spellEnd"/>
            <w:r>
              <w:rPr>
                <w:rStyle w:val="SCCRespondentForIndexChar"/>
                <w:rFonts w:eastAsiaTheme="minorHAnsi"/>
                <w:b w:val="0"/>
              </w:rPr>
              <w:t xml:space="preserve">, </w:t>
            </w:r>
            <w:r w:rsidRPr="00C276C0">
              <w:rPr>
                <w:rStyle w:val="SCCRespondentForIndexChar"/>
                <w:rFonts w:eastAsiaTheme="minorHAnsi"/>
                <w:b w:val="0"/>
              </w:rPr>
              <w:t>2012 CSC 11, [2012] 1 R.C.S. 393</w:t>
            </w:r>
          </w:p>
        </w:tc>
        <w:tc>
          <w:tcPr>
            <w:tcW w:w="2808" w:type="dxa"/>
          </w:tcPr>
          <w:p w:rsidR="00C276C0" w:rsidRPr="001E12E2" w:rsidRDefault="00C276C0" w:rsidP="00981F34">
            <w:r w:rsidRPr="001E12E2">
              <w:rPr>
                <w:b/>
                <w:smallCaps/>
              </w:rPr>
              <w:t xml:space="preserve">Date </w:t>
            </w:r>
            <w:r w:rsidRPr="001E12E2">
              <w:t xml:space="preserve">: </w:t>
            </w:r>
            <w:r>
              <w:t>20120319</w:t>
            </w:r>
          </w:p>
          <w:p w:rsidR="00C276C0" w:rsidRPr="001E12E2" w:rsidRDefault="00C276C0" w:rsidP="00981F34">
            <w:r w:rsidRPr="001E12E2">
              <w:rPr>
                <w:b/>
                <w:smallCaps/>
              </w:rPr>
              <w:t>Do</w:t>
            </w:r>
            <w:r>
              <w:rPr>
                <w:b/>
                <w:smallCaps/>
              </w:rPr>
              <w:t>ssier</w:t>
            </w:r>
            <w:r w:rsidRPr="001E12E2">
              <w:rPr>
                <w:b/>
                <w:smallCaps/>
              </w:rPr>
              <w:t xml:space="preserve"> </w:t>
            </w:r>
            <w:r w:rsidRPr="001E12E2">
              <w:t xml:space="preserve">: </w:t>
            </w:r>
            <w:r>
              <w:t>34337</w:t>
            </w:r>
          </w:p>
        </w:tc>
      </w:tr>
    </w:tbl>
    <w:p w:rsidR="00C276C0" w:rsidRPr="001E12E2" w:rsidRDefault="00C276C0" w:rsidP="00C276C0"/>
    <w:p w:rsidR="00C276C0" w:rsidRDefault="00C276C0" w:rsidP="00C276C0">
      <w:pPr>
        <w:pStyle w:val="SCCLsocPrefix"/>
      </w:pPr>
      <w:r>
        <w:t>Entre :</w:t>
      </w:r>
    </w:p>
    <w:p w:rsidR="00C276C0" w:rsidRDefault="00C276C0" w:rsidP="00C276C0">
      <w:pPr>
        <w:pStyle w:val="SCCLsocParty"/>
        <w:jc w:val="center"/>
      </w:pPr>
      <w:r>
        <w:t xml:space="preserve">Hans Jason </w:t>
      </w:r>
      <w:proofErr w:type="spellStart"/>
      <w:r>
        <w:t>Eastgaard</w:t>
      </w:r>
      <w:proofErr w:type="spellEnd"/>
    </w:p>
    <w:p w:rsidR="00C276C0" w:rsidRDefault="00C276C0" w:rsidP="00C276C0">
      <w:pPr>
        <w:pStyle w:val="SCCLsocPartyRole"/>
        <w:jc w:val="center"/>
      </w:pPr>
      <w:r>
        <w:t>Appelant</w:t>
      </w:r>
    </w:p>
    <w:p w:rsidR="00C276C0" w:rsidRPr="00C276C0" w:rsidRDefault="00C276C0" w:rsidP="00C276C0">
      <w:pPr>
        <w:pStyle w:val="SCCLsocVersus"/>
        <w:jc w:val="center"/>
        <w:rPr>
          <w:i w:val="0"/>
        </w:rPr>
      </w:pPr>
      <w:proofErr w:type="gramStart"/>
      <w:r w:rsidRPr="00C276C0">
        <w:rPr>
          <w:i w:val="0"/>
        </w:rPr>
        <w:t>et</w:t>
      </w:r>
      <w:proofErr w:type="gramEnd"/>
    </w:p>
    <w:p w:rsidR="00C276C0" w:rsidRDefault="00C276C0" w:rsidP="00C276C0">
      <w:pPr>
        <w:pStyle w:val="SCCLsocParty"/>
        <w:jc w:val="center"/>
      </w:pPr>
      <w:r>
        <w:t>Sa Majesté la Reine</w:t>
      </w:r>
    </w:p>
    <w:p w:rsidR="00C276C0" w:rsidRDefault="00C276C0" w:rsidP="00C276C0">
      <w:pPr>
        <w:pStyle w:val="SCCLsocPartyRole"/>
      </w:pPr>
      <w:r>
        <w:t>Intimée</w:t>
      </w:r>
    </w:p>
    <w:p w:rsidR="00C276C0" w:rsidRDefault="00C276C0" w:rsidP="00C276C0"/>
    <w:p w:rsidR="00C276C0" w:rsidRPr="001E12E2" w:rsidRDefault="00C276C0" w:rsidP="00C276C0">
      <w:pPr>
        <w:jc w:val="center"/>
        <w:rPr>
          <w:b/>
          <w:smallCaps/>
        </w:rPr>
      </w:pPr>
      <w:r>
        <w:rPr>
          <w:b/>
          <w:smallCaps/>
        </w:rPr>
        <w:t>Traduction française o</w:t>
      </w:r>
      <w:r w:rsidRPr="001E12E2">
        <w:rPr>
          <w:b/>
          <w:smallCaps/>
        </w:rPr>
        <w:t>ffici</w:t>
      </w:r>
      <w:r>
        <w:rPr>
          <w:b/>
          <w:smallCaps/>
        </w:rPr>
        <w:t>elle</w:t>
      </w:r>
    </w:p>
    <w:p w:rsidR="00C276C0" w:rsidRPr="001E12E2" w:rsidRDefault="00C276C0" w:rsidP="00C276C0"/>
    <w:p w:rsidR="00C276C0" w:rsidRPr="001E12E2" w:rsidRDefault="00C276C0" w:rsidP="00C276C0">
      <w:r w:rsidRPr="001E12E2">
        <w:rPr>
          <w:b/>
          <w:smallCaps/>
        </w:rPr>
        <w:t xml:space="preserve">Coram </w:t>
      </w:r>
      <w:r w:rsidRPr="00102D0F">
        <w:rPr>
          <w:b/>
        </w:rPr>
        <w:t>:</w:t>
      </w:r>
      <w:r w:rsidRPr="001E12E2">
        <w:t xml:space="preserve"> </w:t>
      </w:r>
      <w:r>
        <w:t xml:space="preserve">La juge en chef </w:t>
      </w:r>
      <w:proofErr w:type="spellStart"/>
      <w:r>
        <w:t>McLachlin</w:t>
      </w:r>
      <w:proofErr w:type="spellEnd"/>
      <w:r>
        <w:t xml:space="preserve"> et les juges </w:t>
      </w:r>
      <w:proofErr w:type="spellStart"/>
      <w:r>
        <w:t>LeBel</w:t>
      </w:r>
      <w:proofErr w:type="spellEnd"/>
      <w:r>
        <w:t xml:space="preserve">, Deschamps, Fish, Abella, Cromwell et </w:t>
      </w:r>
      <w:proofErr w:type="spellStart"/>
      <w:r>
        <w:t>Moldaver</w:t>
      </w:r>
      <w:proofErr w:type="spellEnd"/>
    </w:p>
    <w:p w:rsidR="00C276C0" w:rsidRPr="001E12E2" w:rsidRDefault="00C276C0" w:rsidP="00C276C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3618"/>
        <w:gridCol w:w="5958"/>
      </w:tblGrid>
      <w:tr w:rsidR="00C276C0" w:rsidRPr="001E12E2" w:rsidTr="00981F34">
        <w:trPr>
          <w:cantSplit/>
        </w:trPr>
        <w:tc>
          <w:tcPr>
            <w:tcW w:w="3618" w:type="dxa"/>
          </w:tcPr>
          <w:p w:rsidR="00C276C0" w:rsidRDefault="00C276C0" w:rsidP="00981F34">
            <w:r>
              <w:rPr>
                <w:b/>
                <w:smallCaps/>
              </w:rPr>
              <w:t>Motifs</w:t>
            </w:r>
            <w:r w:rsidRPr="001E12E2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de</w:t>
            </w:r>
            <w:r w:rsidRPr="001E12E2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j</w:t>
            </w:r>
            <w:r w:rsidRPr="001E12E2">
              <w:rPr>
                <w:b/>
                <w:smallCaps/>
              </w:rPr>
              <w:t>ug</w:t>
            </w:r>
            <w:r>
              <w:rPr>
                <w:b/>
                <w:smallCaps/>
              </w:rPr>
              <w:t>e</w:t>
            </w:r>
            <w:r w:rsidRPr="001E12E2">
              <w:rPr>
                <w:b/>
                <w:smallCaps/>
              </w:rPr>
              <w:t>ment</w:t>
            </w:r>
            <w:r w:rsidRPr="001E12E2">
              <w:t xml:space="preserve"> :</w:t>
            </w:r>
          </w:p>
          <w:p w:rsidR="00C276C0" w:rsidRDefault="00C276C0" w:rsidP="00981F34">
            <w:r>
              <w:t>(par. 1)</w:t>
            </w:r>
          </w:p>
          <w:p w:rsidR="00C276C0" w:rsidRPr="007F4998" w:rsidRDefault="00C276C0" w:rsidP="00981F34"/>
        </w:tc>
        <w:tc>
          <w:tcPr>
            <w:tcW w:w="5958" w:type="dxa"/>
          </w:tcPr>
          <w:p w:rsidR="00C276C0" w:rsidRDefault="00C276C0" w:rsidP="00981F34">
            <w:r>
              <w:t xml:space="preserve">La juge en chef </w:t>
            </w:r>
            <w:proofErr w:type="spellStart"/>
            <w:r>
              <w:t>McLachlin</w:t>
            </w:r>
            <w:proofErr w:type="spellEnd"/>
            <w:r>
              <w:t xml:space="preserve"> (avec l’accord des juges </w:t>
            </w:r>
            <w:proofErr w:type="spellStart"/>
            <w:r>
              <w:t>LeBel</w:t>
            </w:r>
            <w:proofErr w:type="spellEnd"/>
            <w:r>
              <w:t xml:space="preserve">, Deschamps, Fish, Abella, Cromwell et </w:t>
            </w:r>
            <w:proofErr w:type="spellStart"/>
            <w:r>
              <w:t>Moldaver</w:t>
            </w:r>
            <w:proofErr w:type="spellEnd"/>
            <w:r>
              <w:t>)</w:t>
            </w:r>
          </w:p>
          <w:p w:rsidR="00C276C0" w:rsidRPr="001E12E2" w:rsidRDefault="00C276C0" w:rsidP="00981F34"/>
        </w:tc>
      </w:tr>
    </w:tbl>
    <w:p w:rsidR="00C276C0" w:rsidRPr="001E12E2" w:rsidRDefault="00C276C0" w:rsidP="00C276C0">
      <w:r>
        <w:rPr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6.75pt;margin-top:14.5pt;width:197.25pt;height:0;z-index:251660288;mso-position-horizontal-relative:text;mso-position-vertical-relative:text" o:connectortype="straight"/>
        </w:pict>
      </w:r>
    </w:p>
    <w:p w:rsidR="00C276C0" w:rsidRDefault="00C276C0">
      <w:pPr>
        <w:spacing w:after="200" w:line="276" w:lineRule="auto"/>
        <w:rPr>
          <w:rStyle w:val="SCCAppellantForIndexChar"/>
          <w:b w:val="0"/>
          <w:szCs w:val="24"/>
        </w:rPr>
      </w:pPr>
      <w:r>
        <w:rPr>
          <w:rStyle w:val="SCCAppellantForIndexChar"/>
          <w:b w:val="0"/>
          <w:szCs w:val="24"/>
        </w:rPr>
        <w:br w:type="page"/>
      </w:r>
    </w:p>
    <w:p w:rsidR="00670B97" w:rsidRPr="00670B97" w:rsidRDefault="00670B97" w:rsidP="00FE3AAD">
      <w:pPr>
        <w:spacing w:after="720"/>
        <w:jc w:val="both"/>
        <w:rPr>
          <w:rStyle w:val="SCCRespondentForRunningHeadChar"/>
          <w:b/>
          <w:szCs w:val="24"/>
          <w:lang w:val="en-US"/>
        </w:rPr>
      </w:pPr>
      <w:r w:rsidRPr="00C276C0">
        <w:rPr>
          <w:rStyle w:val="SCCAppellantForIndexChar"/>
          <w:b w:val="0"/>
          <w:szCs w:val="24"/>
          <w:lang w:val="en-US"/>
        </w:rPr>
        <w:lastRenderedPageBreak/>
        <w:t xml:space="preserve">R. </w:t>
      </w:r>
      <w:r w:rsidRPr="00C276C0">
        <w:rPr>
          <w:rStyle w:val="SCCAppellantForIndexChar"/>
          <w:b w:val="0"/>
          <w:i/>
          <w:szCs w:val="24"/>
          <w:lang w:val="en-US"/>
        </w:rPr>
        <w:t xml:space="preserve">c. </w:t>
      </w:r>
      <w:proofErr w:type="spellStart"/>
      <w:r w:rsidRPr="00C276C0">
        <w:rPr>
          <w:rStyle w:val="SCCAppellantForIndexChar"/>
          <w:b w:val="0"/>
          <w:szCs w:val="24"/>
          <w:lang w:val="en-US"/>
        </w:rPr>
        <w:t>Eastgaard</w:t>
      </w:r>
      <w:proofErr w:type="spellEnd"/>
      <w:r w:rsidRPr="00C276C0">
        <w:rPr>
          <w:rStyle w:val="SCCAppellantForIndexChar"/>
          <w:b w:val="0"/>
          <w:szCs w:val="24"/>
          <w:lang w:val="en-US"/>
        </w:rPr>
        <w:t>, 2012 CSC 11, [2012] 1 R.C.S. 393</w:t>
      </w:r>
    </w:p>
    <w:p w:rsidR="00FE3AAD" w:rsidRPr="00C276C0" w:rsidRDefault="005400B3" w:rsidP="00FE3AAD">
      <w:pPr>
        <w:pStyle w:val="SCCLsocParty"/>
        <w:tabs>
          <w:tab w:val="right" w:pos="8280"/>
        </w:tabs>
        <w:spacing w:after="720"/>
        <w:rPr>
          <w:b w:val="0"/>
          <w:i/>
          <w:szCs w:val="24"/>
        </w:rPr>
      </w:pPr>
      <w:r w:rsidRPr="00C276C0">
        <w:rPr>
          <w:szCs w:val="24"/>
        </w:rPr>
        <w:t xml:space="preserve">Hans Jason </w:t>
      </w:r>
      <w:proofErr w:type="spellStart"/>
      <w:r w:rsidRPr="00C276C0">
        <w:rPr>
          <w:szCs w:val="24"/>
        </w:rPr>
        <w:t>Eastgaard</w:t>
      </w:r>
      <w:proofErr w:type="spellEnd"/>
      <w:r w:rsidR="00FE3AAD" w:rsidRPr="00C276C0">
        <w:rPr>
          <w:szCs w:val="24"/>
        </w:rPr>
        <w:tab/>
      </w:r>
      <w:r w:rsidR="00FE3AAD" w:rsidRPr="00C276C0">
        <w:rPr>
          <w:b w:val="0"/>
          <w:i/>
          <w:szCs w:val="24"/>
        </w:rPr>
        <w:t>Appelant</w:t>
      </w:r>
    </w:p>
    <w:p w:rsidR="00FE3AAD" w:rsidRPr="00D33471" w:rsidRDefault="00FE3AAD" w:rsidP="00FE3AAD">
      <w:pPr>
        <w:pStyle w:val="SCCLsocVersus"/>
        <w:spacing w:after="720"/>
        <w:jc w:val="both"/>
        <w:rPr>
          <w:szCs w:val="24"/>
        </w:rPr>
      </w:pPr>
      <w:proofErr w:type="gramStart"/>
      <w:r w:rsidRPr="00D33471">
        <w:rPr>
          <w:szCs w:val="24"/>
        </w:rPr>
        <w:t>c</w:t>
      </w:r>
      <w:proofErr w:type="gramEnd"/>
      <w:r w:rsidRPr="00D33471">
        <w:rPr>
          <w:szCs w:val="24"/>
        </w:rPr>
        <w:t>.</w:t>
      </w:r>
    </w:p>
    <w:p w:rsidR="00FE3AAD" w:rsidRPr="00D33471" w:rsidRDefault="00FE3AAD" w:rsidP="00FE3AAD">
      <w:pPr>
        <w:pStyle w:val="SCCLsocParty"/>
        <w:tabs>
          <w:tab w:val="right" w:pos="8280"/>
        </w:tabs>
        <w:spacing w:after="720"/>
        <w:rPr>
          <w:b w:val="0"/>
          <w:i/>
          <w:szCs w:val="24"/>
        </w:rPr>
      </w:pPr>
      <w:r w:rsidRPr="00D33471">
        <w:rPr>
          <w:szCs w:val="24"/>
        </w:rPr>
        <w:t>Sa Majesté la Reine</w:t>
      </w:r>
      <w:r w:rsidRPr="00D33471">
        <w:rPr>
          <w:szCs w:val="24"/>
        </w:rPr>
        <w:tab/>
      </w:r>
      <w:r w:rsidRPr="00D33471">
        <w:rPr>
          <w:b w:val="0"/>
          <w:i/>
          <w:szCs w:val="24"/>
        </w:rPr>
        <w:t>Intimée</w:t>
      </w:r>
    </w:p>
    <w:p w:rsidR="00FE3AAD" w:rsidRPr="00D33471" w:rsidRDefault="00FE3AAD" w:rsidP="00FE3AAD">
      <w:pPr>
        <w:spacing w:after="720"/>
        <w:jc w:val="both"/>
        <w:rPr>
          <w:b/>
          <w:szCs w:val="24"/>
        </w:rPr>
      </w:pPr>
      <w:r w:rsidRPr="00D33471">
        <w:rPr>
          <w:b/>
          <w:szCs w:val="24"/>
        </w:rPr>
        <w:t>Répertorié : </w:t>
      </w:r>
      <w:r w:rsidRPr="00D33471">
        <w:rPr>
          <w:rStyle w:val="SCCAppellantForIndexChar"/>
          <w:szCs w:val="24"/>
        </w:rPr>
        <w:t xml:space="preserve">R. </w:t>
      </w:r>
      <w:r w:rsidRPr="00D33471">
        <w:rPr>
          <w:rStyle w:val="SCCAppellantForIndexChar"/>
          <w:i/>
          <w:szCs w:val="24"/>
        </w:rPr>
        <w:t xml:space="preserve">c. </w:t>
      </w:r>
      <w:proofErr w:type="spellStart"/>
      <w:r w:rsidR="005400B3" w:rsidRPr="00D33471">
        <w:rPr>
          <w:rStyle w:val="SCCAppellantForIndexChar"/>
          <w:szCs w:val="24"/>
        </w:rPr>
        <w:t>Eastgaard</w:t>
      </w:r>
      <w:proofErr w:type="spellEnd"/>
    </w:p>
    <w:p w:rsidR="00FE3AAD" w:rsidRPr="00D33471" w:rsidRDefault="00FE3AAD" w:rsidP="00FE3AAD">
      <w:pPr>
        <w:pStyle w:val="SCCSystemYear"/>
        <w:spacing w:after="720"/>
        <w:jc w:val="both"/>
        <w:rPr>
          <w:szCs w:val="24"/>
        </w:rPr>
      </w:pPr>
      <w:r w:rsidRPr="00D33471">
        <w:rPr>
          <w:szCs w:val="24"/>
        </w:rPr>
        <w:t>2012 C</w:t>
      </w:r>
      <w:r w:rsidR="00E6556F" w:rsidRPr="00D33471">
        <w:rPr>
          <w:szCs w:val="24"/>
        </w:rPr>
        <w:t>SC </w:t>
      </w:r>
      <w:r w:rsidR="001671FE" w:rsidRPr="00D33471">
        <w:rPr>
          <w:szCs w:val="24"/>
        </w:rPr>
        <w:t>11</w:t>
      </w:r>
    </w:p>
    <w:p w:rsidR="00FE3AAD" w:rsidRPr="00D33471" w:rsidRDefault="00FE3AAD" w:rsidP="00FE3AAD">
      <w:pPr>
        <w:spacing w:after="720"/>
        <w:jc w:val="both"/>
        <w:rPr>
          <w:szCs w:val="24"/>
        </w:rPr>
      </w:pPr>
      <w:r w:rsidRPr="00D33471">
        <w:rPr>
          <w:szCs w:val="24"/>
        </w:rPr>
        <w:t>N</w:t>
      </w:r>
      <w:r w:rsidR="00E6556F" w:rsidRPr="00D33471">
        <w:rPr>
          <w:szCs w:val="24"/>
          <w:vertAlign w:val="superscript"/>
        </w:rPr>
        <w:t>o</w:t>
      </w:r>
      <w:r w:rsidRPr="00D33471">
        <w:rPr>
          <w:szCs w:val="24"/>
        </w:rPr>
        <w:t xml:space="preserve"> du greffe : </w:t>
      </w:r>
      <w:r w:rsidR="00E6556F" w:rsidRPr="00D33471">
        <w:rPr>
          <w:szCs w:val="24"/>
        </w:rPr>
        <w:t>34337.</w:t>
      </w:r>
    </w:p>
    <w:p w:rsidR="00FE3AAD" w:rsidRPr="00D33471" w:rsidRDefault="00E6556F" w:rsidP="00FE3AAD">
      <w:pPr>
        <w:spacing w:after="720"/>
        <w:jc w:val="both"/>
        <w:rPr>
          <w:szCs w:val="24"/>
        </w:rPr>
      </w:pPr>
      <w:r w:rsidRPr="00D33471">
        <w:rPr>
          <w:szCs w:val="24"/>
        </w:rPr>
        <w:t>2012</w:t>
      </w:r>
      <w:r w:rsidR="00FE3AAD" w:rsidRPr="00D33471">
        <w:rPr>
          <w:szCs w:val="24"/>
        </w:rPr>
        <w:t> : </w:t>
      </w:r>
      <w:r w:rsidRPr="00D33471">
        <w:rPr>
          <w:szCs w:val="24"/>
        </w:rPr>
        <w:t>19 mars.</w:t>
      </w:r>
    </w:p>
    <w:p w:rsidR="00FE3AAD" w:rsidRPr="00D33471" w:rsidRDefault="00FE3AAD" w:rsidP="00FE3AAD">
      <w:pPr>
        <w:spacing w:after="720"/>
        <w:jc w:val="both"/>
        <w:rPr>
          <w:szCs w:val="24"/>
        </w:rPr>
      </w:pPr>
      <w:r w:rsidRPr="00D33471">
        <w:rPr>
          <w:szCs w:val="24"/>
        </w:rPr>
        <w:t xml:space="preserve">Présents : La juge en chef </w:t>
      </w:r>
      <w:proofErr w:type="spellStart"/>
      <w:r w:rsidRPr="00D33471">
        <w:rPr>
          <w:szCs w:val="24"/>
        </w:rPr>
        <w:t>McLachlin</w:t>
      </w:r>
      <w:proofErr w:type="spellEnd"/>
      <w:r w:rsidRPr="00D33471">
        <w:rPr>
          <w:szCs w:val="24"/>
        </w:rPr>
        <w:t xml:space="preserve"> et les juges Le</w:t>
      </w:r>
      <w:r w:rsidR="0099794E" w:rsidRPr="00D33471">
        <w:rPr>
          <w:szCs w:val="24"/>
        </w:rPr>
        <w:t xml:space="preserve">Bel, Deschamps, Fish, Abella, Cromwell et </w:t>
      </w:r>
      <w:proofErr w:type="spellStart"/>
      <w:r w:rsidR="0099794E" w:rsidRPr="00D33471">
        <w:rPr>
          <w:szCs w:val="24"/>
        </w:rPr>
        <w:t>Moldaver</w:t>
      </w:r>
      <w:proofErr w:type="spellEnd"/>
      <w:r w:rsidR="0099794E" w:rsidRPr="00D33471">
        <w:rPr>
          <w:szCs w:val="24"/>
        </w:rPr>
        <w:t>.</w:t>
      </w:r>
    </w:p>
    <w:p w:rsidR="00FE3AAD" w:rsidRPr="00D33471" w:rsidRDefault="00FE3AAD" w:rsidP="00FE3AAD">
      <w:pPr>
        <w:pStyle w:val="SCCLowerCourtNameLowercase"/>
        <w:spacing w:after="720" w:line="240" w:lineRule="auto"/>
        <w:rPr>
          <w:szCs w:val="24"/>
        </w:rPr>
      </w:pPr>
      <w:r w:rsidRPr="00D33471">
        <w:rPr>
          <w:szCs w:val="24"/>
        </w:rPr>
        <w:t xml:space="preserve">en appel </w:t>
      </w:r>
      <w:r w:rsidR="00D06251" w:rsidRPr="00D33471">
        <w:rPr>
          <w:szCs w:val="24"/>
        </w:rPr>
        <w:t>de la cour d’appel de l’</w:t>
      </w:r>
      <w:proofErr w:type="spellStart"/>
      <w:r w:rsidR="00D06251" w:rsidRPr="00D33471">
        <w:rPr>
          <w:szCs w:val="24"/>
        </w:rPr>
        <w:t>alberta</w:t>
      </w:r>
      <w:proofErr w:type="spellEnd"/>
    </w:p>
    <w:p w:rsidR="00FE3AAD" w:rsidRPr="00D33471" w:rsidRDefault="0057491C" w:rsidP="00632DC1">
      <w:pPr>
        <w:pStyle w:val="SCCNormalDoubleSpacing"/>
        <w:rPr>
          <w:i/>
        </w:rPr>
      </w:pPr>
      <w:r w:rsidRPr="00D33471">
        <w:tab/>
      </w:r>
      <w:r w:rsidRPr="00D33471">
        <w:rPr>
          <w:i/>
        </w:rPr>
        <w:t xml:space="preserve">Droit criminel </w:t>
      </w:r>
      <w:r w:rsidR="00E832EB" w:rsidRPr="00D33471">
        <w:rPr>
          <w:i/>
        </w:rPr>
        <w:t>— Armes à feu —</w:t>
      </w:r>
      <w:r w:rsidRPr="00D33471">
        <w:rPr>
          <w:i/>
        </w:rPr>
        <w:t xml:space="preserve"> Possession </w:t>
      </w:r>
      <w:r w:rsidR="00C02C04" w:rsidRPr="00D33471">
        <w:rPr>
          <w:i/>
        </w:rPr>
        <w:t>d’une arme à feu prohibée ou à autorisation restreinte avec des munitions</w:t>
      </w:r>
      <w:r w:rsidR="00E832EB" w:rsidRPr="00D33471">
        <w:rPr>
          <w:i/>
        </w:rPr>
        <w:t xml:space="preserve"> — Éléments de l’infraction — Mens </w:t>
      </w:r>
      <w:proofErr w:type="spellStart"/>
      <w:r w:rsidR="00E832EB" w:rsidRPr="00D33471">
        <w:rPr>
          <w:i/>
        </w:rPr>
        <w:t>rea</w:t>
      </w:r>
      <w:proofErr w:type="spellEnd"/>
      <w:r w:rsidR="00E832EB" w:rsidRPr="00D33471">
        <w:rPr>
          <w:i/>
        </w:rPr>
        <w:t xml:space="preserve"> —</w:t>
      </w:r>
      <w:r w:rsidRPr="00D33471">
        <w:rPr>
          <w:i/>
        </w:rPr>
        <w:t xml:space="preserve"> </w:t>
      </w:r>
      <w:r w:rsidR="00632DC1" w:rsidRPr="00D33471">
        <w:rPr>
          <w:i/>
        </w:rPr>
        <w:t xml:space="preserve">Le </w:t>
      </w:r>
      <w:r w:rsidR="00C02C04" w:rsidRPr="00D33471">
        <w:rPr>
          <w:i/>
        </w:rPr>
        <w:t>juge du procès</w:t>
      </w:r>
      <w:r w:rsidR="00632DC1" w:rsidRPr="00D33471">
        <w:rPr>
          <w:i/>
        </w:rPr>
        <w:t xml:space="preserve"> a inféré des </w:t>
      </w:r>
      <w:r w:rsidR="00C02C04" w:rsidRPr="00D33471">
        <w:rPr>
          <w:i/>
        </w:rPr>
        <w:t>circonstances</w:t>
      </w:r>
      <w:r w:rsidR="00632DC1" w:rsidRPr="00D33471">
        <w:rPr>
          <w:i/>
        </w:rPr>
        <w:t xml:space="preserve"> de l’espèce </w:t>
      </w:r>
      <w:r w:rsidR="00C02C04" w:rsidRPr="00D33471">
        <w:rPr>
          <w:i/>
        </w:rPr>
        <w:t>que l’accusé savait que l’arme à feu était chargée</w:t>
      </w:r>
      <w:r w:rsidR="00E832EB" w:rsidRPr="00D33471">
        <w:rPr>
          <w:i/>
        </w:rPr>
        <w:t xml:space="preserve"> —</w:t>
      </w:r>
      <w:r w:rsidRPr="00D33471">
        <w:rPr>
          <w:i/>
        </w:rPr>
        <w:t xml:space="preserve"> </w:t>
      </w:r>
      <w:r w:rsidR="00632DC1" w:rsidRPr="00D33471">
        <w:rPr>
          <w:i/>
        </w:rPr>
        <w:t xml:space="preserve">La déclaration de culpabilité basée sur la preuve </w:t>
      </w:r>
      <w:r w:rsidR="00632DC1" w:rsidRPr="00D33471">
        <w:rPr>
          <w:i/>
        </w:rPr>
        <w:lastRenderedPageBreak/>
        <w:t>circonstancielle n’était pas déraisonnable</w:t>
      </w:r>
      <w:r w:rsidR="00E832EB" w:rsidRPr="00D33471">
        <w:rPr>
          <w:i/>
        </w:rPr>
        <w:t xml:space="preserve"> —</w:t>
      </w:r>
      <w:r w:rsidRPr="00D33471">
        <w:rPr>
          <w:i/>
        </w:rPr>
        <w:t xml:space="preserve"> Co</w:t>
      </w:r>
      <w:r w:rsidR="00F25C50" w:rsidRPr="00D33471">
        <w:rPr>
          <w:i/>
        </w:rPr>
        <w:t>de criminel, L.R.C. 1985, ch. C-</w:t>
      </w:r>
      <w:r w:rsidRPr="00D33471">
        <w:rPr>
          <w:i/>
        </w:rPr>
        <w:t>46, art. 95.</w:t>
      </w:r>
    </w:p>
    <w:p w:rsidR="00632DC1" w:rsidRPr="00D33471" w:rsidRDefault="00632DC1" w:rsidP="00632DC1">
      <w:pPr>
        <w:pStyle w:val="SCCNormalDoubleSpacing"/>
        <w:rPr>
          <w:szCs w:val="24"/>
        </w:rPr>
      </w:pPr>
    </w:p>
    <w:p w:rsidR="00FE3AAD" w:rsidRPr="00D33471" w:rsidRDefault="00FE3AAD" w:rsidP="00FE3AAD">
      <w:pPr>
        <w:pStyle w:val="SCCNormalDoubleSpacing"/>
        <w:spacing w:after="480"/>
        <w:rPr>
          <w:szCs w:val="24"/>
        </w:rPr>
      </w:pPr>
      <w:r w:rsidRPr="00D33471">
        <w:rPr>
          <w:szCs w:val="24"/>
        </w:rPr>
        <w:tab/>
        <w:t>POURVOI contre un arrêt</w:t>
      </w:r>
      <w:r w:rsidR="0099794E" w:rsidRPr="00D33471">
        <w:rPr>
          <w:szCs w:val="24"/>
        </w:rPr>
        <w:t xml:space="preserve"> de la Cour d’appel de l’Alberta</w:t>
      </w:r>
      <w:r w:rsidRPr="00D33471">
        <w:rPr>
          <w:szCs w:val="24"/>
        </w:rPr>
        <w:t xml:space="preserve"> </w:t>
      </w:r>
      <w:r w:rsidR="00047912" w:rsidRPr="00D33471">
        <w:rPr>
          <w:szCs w:val="24"/>
        </w:rPr>
        <w:fldChar w:fldCharType="begin"/>
      </w:r>
      <w:r w:rsidRPr="00D33471">
        <w:rPr>
          <w:szCs w:val="24"/>
        </w:rPr>
        <w:instrText xml:space="preserve"> SEQ CHAPTER \h \r 1</w:instrText>
      </w:r>
      <w:r w:rsidR="00047912" w:rsidRPr="00D33471">
        <w:rPr>
          <w:szCs w:val="24"/>
        </w:rPr>
        <w:fldChar w:fldCharType="end"/>
      </w:r>
      <w:r w:rsidRPr="00D33471">
        <w:rPr>
          <w:szCs w:val="24"/>
        </w:rPr>
        <w:t xml:space="preserve">(les juges </w:t>
      </w:r>
      <w:r w:rsidR="0099794E" w:rsidRPr="00D33471">
        <w:rPr>
          <w:szCs w:val="24"/>
        </w:rPr>
        <w:t xml:space="preserve">Ritter, </w:t>
      </w:r>
      <w:proofErr w:type="spellStart"/>
      <w:r w:rsidR="0099794E" w:rsidRPr="00D33471">
        <w:rPr>
          <w:szCs w:val="24"/>
        </w:rPr>
        <w:t>Bielby</w:t>
      </w:r>
      <w:proofErr w:type="spellEnd"/>
      <w:r w:rsidR="0099794E" w:rsidRPr="00D33471">
        <w:rPr>
          <w:szCs w:val="24"/>
        </w:rPr>
        <w:t xml:space="preserve"> et Phillips (</w:t>
      </w:r>
      <w:r w:rsidR="0099794E" w:rsidRPr="00D33471">
        <w:rPr>
          <w:i/>
          <w:szCs w:val="24"/>
        </w:rPr>
        <w:t>ad hoc</w:t>
      </w:r>
      <w:r w:rsidR="0099794E" w:rsidRPr="00D33471">
        <w:rPr>
          <w:szCs w:val="24"/>
        </w:rPr>
        <w:t>)</w:t>
      </w:r>
      <w:r w:rsidRPr="00D33471">
        <w:rPr>
          <w:szCs w:val="24"/>
        </w:rPr>
        <w:t xml:space="preserve">), </w:t>
      </w:r>
      <w:r w:rsidR="00047912" w:rsidRPr="00D33471">
        <w:rPr>
          <w:szCs w:val="24"/>
        </w:rPr>
        <w:fldChar w:fldCharType="begin"/>
      </w:r>
      <w:r w:rsidRPr="00D33471">
        <w:rPr>
          <w:szCs w:val="24"/>
        </w:rPr>
        <w:instrText xml:space="preserve"> SEQ CHAPTER \h \r 1</w:instrText>
      </w:r>
      <w:r w:rsidR="00047912" w:rsidRPr="00D33471">
        <w:rPr>
          <w:szCs w:val="24"/>
        </w:rPr>
        <w:fldChar w:fldCharType="end"/>
      </w:r>
      <w:r w:rsidR="0099794E" w:rsidRPr="00D33471">
        <w:rPr>
          <w:szCs w:val="24"/>
        </w:rPr>
        <w:t>2011 ABCA 152,</w:t>
      </w:r>
      <w:r w:rsidR="009E0C75" w:rsidRPr="00D33471">
        <w:rPr>
          <w:szCs w:val="24"/>
        </w:rPr>
        <w:t xml:space="preserve"> </w:t>
      </w:r>
      <w:r w:rsidR="00015F16" w:rsidRPr="00D33471">
        <w:rPr>
          <w:szCs w:val="24"/>
        </w:rPr>
        <w:t>50 Alta. L.</w:t>
      </w:r>
      <w:r w:rsidR="009E0C75" w:rsidRPr="00D33471">
        <w:rPr>
          <w:szCs w:val="24"/>
        </w:rPr>
        <w:t>R. (5th) 196,</w:t>
      </w:r>
      <w:r w:rsidR="0099794E" w:rsidRPr="00D33471">
        <w:rPr>
          <w:szCs w:val="24"/>
        </w:rPr>
        <w:t xml:space="preserve"> 510 A.R. 117, </w:t>
      </w:r>
      <w:r w:rsidR="001C76B3">
        <w:rPr>
          <w:szCs w:val="24"/>
        </w:rPr>
        <w:t xml:space="preserve">276 C.C.C. (3d) 432, </w:t>
      </w:r>
      <w:r w:rsidR="0099794E" w:rsidRPr="00D33471">
        <w:rPr>
          <w:szCs w:val="24"/>
        </w:rPr>
        <w:t xml:space="preserve">527 W.A.C. 117, [2011] A.J. No. 591 (QL), 2011 </w:t>
      </w:r>
      <w:proofErr w:type="spellStart"/>
      <w:r w:rsidR="0099794E" w:rsidRPr="00D33471">
        <w:rPr>
          <w:szCs w:val="24"/>
        </w:rPr>
        <w:t>CarswellAlta</w:t>
      </w:r>
      <w:proofErr w:type="spellEnd"/>
      <w:r w:rsidR="0099794E" w:rsidRPr="00D33471">
        <w:rPr>
          <w:szCs w:val="24"/>
        </w:rPr>
        <w:t xml:space="preserve"> 886, </w:t>
      </w:r>
      <w:r w:rsidR="00B369CE">
        <w:rPr>
          <w:szCs w:val="24"/>
        </w:rPr>
        <w:t>qui a confirmé la</w:t>
      </w:r>
      <w:r w:rsidR="00E63B78" w:rsidRPr="00D33471">
        <w:rPr>
          <w:szCs w:val="24"/>
        </w:rPr>
        <w:t xml:space="preserve"> </w:t>
      </w:r>
      <w:r w:rsidR="001C76B3">
        <w:rPr>
          <w:szCs w:val="24"/>
        </w:rPr>
        <w:t xml:space="preserve">déclaration de culpabilité inscrite par le juge </w:t>
      </w:r>
      <w:proofErr w:type="spellStart"/>
      <w:r w:rsidR="00E63B78" w:rsidRPr="00D33471">
        <w:rPr>
          <w:szCs w:val="24"/>
        </w:rPr>
        <w:t>Hawco</w:t>
      </w:r>
      <w:proofErr w:type="spellEnd"/>
      <w:r w:rsidR="0099794E" w:rsidRPr="00D33471">
        <w:rPr>
          <w:szCs w:val="24"/>
        </w:rPr>
        <w:t xml:space="preserve">, </w:t>
      </w:r>
      <w:r w:rsidR="00047912" w:rsidRPr="00D33471">
        <w:rPr>
          <w:szCs w:val="24"/>
        </w:rPr>
        <w:fldChar w:fldCharType="begin"/>
      </w:r>
      <w:r w:rsidR="0099794E" w:rsidRPr="00D33471">
        <w:rPr>
          <w:szCs w:val="24"/>
        </w:rPr>
        <w:instrText xml:space="preserve"> SEQ CHAPTER \h \r 1</w:instrText>
      </w:r>
      <w:r w:rsidR="00047912" w:rsidRPr="00D33471">
        <w:rPr>
          <w:szCs w:val="24"/>
        </w:rPr>
        <w:fldChar w:fldCharType="end"/>
      </w:r>
      <w:r w:rsidR="0099794E" w:rsidRPr="00D33471">
        <w:rPr>
          <w:szCs w:val="24"/>
        </w:rPr>
        <w:t xml:space="preserve">2009 </w:t>
      </w:r>
      <w:proofErr w:type="spellStart"/>
      <w:r w:rsidR="0099794E" w:rsidRPr="00D33471">
        <w:rPr>
          <w:szCs w:val="24"/>
        </w:rPr>
        <w:t>CarswellAlta</w:t>
      </w:r>
      <w:proofErr w:type="spellEnd"/>
      <w:r w:rsidR="0099794E" w:rsidRPr="00D33471">
        <w:rPr>
          <w:szCs w:val="24"/>
        </w:rPr>
        <w:t xml:space="preserve"> 2348.  </w:t>
      </w:r>
      <w:r w:rsidR="00E63B78" w:rsidRPr="00D33471">
        <w:rPr>
          <w:szCs w:val="24"/>
        </w:rPr>
        <w:t>Pourvoi rejeté</w:t>
      </w:r>
      <w:r w:rsidR="0099794E" w:rsidRPr="00D33471">
        <w:rPr>
          <w:szCs w:val="24"/>
        </w:rPr>
        <w:t>.</w:t>
      </w:r>
    </w:p>
    <w:p w:rsidR="00FE3AAD" w:rsidRPr="00D33471" w:rsidRDefault="00FE3AAD" w:rsidP="00FE3AAD">
      <w:pPr>
        <w:pStyle w:val="SCCNormalDoubleSpacing"/>
        <w:spacing w:after="480"/>
        <w:rPr>
          <w:szCs w:val="24"/>
        </w:rPr>
      </w:pPr>
      <w:r w:rsidRPr="00D33471">
        <w:rPr>
          <w:rStyle w:val="SCCCounselNameChar"/>
          <w:szCs w:val="24"/>
        </w:rPr>
        <w:tab/>
      </w:r>
      <w:r w:rsidR="00545F19" w:rsidRPr="00D33471">
        <w:rPr>
          <w:rStyle w:val="SCCCounselNameChar"/>
          <w:szCs w:val="24"/>
        </w:rPr>
        <w:t xml:space="preserve">Jennifer </w:t>
      </w:r>
      <w:proofErr w:type="spellStart"/>
      <w:r w:rsidR="00545F19" w:rsidRPr="00D33471">
        <w:rPr>
          <w:rStyle w:val="SCCCounselNameChar"/>
          <w:szCs w:val="24"/>
        </w:rPr>
        <w:t>Ruttan</w:t>
      </w:r>
      <w:proofErr w:type="spellEnd"/>
      <w:r w:rsidR="00545F19" w:rsidRPr="00D33471">
        <w:rPr>
          <w:rStyle w:val="SCCCounselNameChar"/>
          <w:i w:val="0"/>
          <w:szCs w:val="24"/>
        </w:rPr>
        <w:t xml:space="preserve"> et </w:t>
      </w:r>
      <w:r w:rsidR="00545F19" w:rsidRPr="00D33471">
        <w:rPr>
          <w:rStyle w:val="SCCCounselNameChar"/>
          <w:szCs w:val="24"/>
        </w:rPr>
        <w:t>Michael Bates</w:t>
      </w:r>
      <w:r w:rsidRPr="00D33471">
        <w:rPr>
          <w:rStyle w:val="SCCCounselPartyRoleChar"/>
          <w:szCs w:val="24"/>
        </w:rPr>
        <w:t>, pour l’appelant.</w:t>
      </w:r>
    </w:p>
    <w:p w:rsidR="00FE3AAD" w:rsidRPr="00D33471" w:rsidRDefault="00FE3AAD" w:rsidP="00FE3AAD">
      <w:pPr>
        <w:pStyle w:val="SCCNormalDoubleSpacing"/>
        <w:spacing w:after="480"/>
        <w:rPr>
          <w:rStyle w:val="SCCCounselPartyRoleChar"/>
          <w:szCs w:val="24"/>
        </w:rPr>
      </w:pPr>
      <w:r w:rsidRPr="00D33471">
        <w:rPr>
          <w:rStyle w:val="SCCCounselNameChar"/>
          <w:szCs w:val="24"/>
        </w:rPr>
        <w:tab/>
      </w:r>
      <w:r w:rsidR="00E062D0" w:rsidRPr="00D33471">
        <w:rPr>
          <w:rStyle w:val="SCCCounselNameChar"/>
          <w:szCs w:val="24"/>
        </w:rPr>
        <w:t xml:space="preserve">Goran </w:t>
      </w:r>
      <w:proofErr w:type="spellStart"/>
      <w:r w:rsidR="00E062D0" w:rsidRPr="00D33471">
        <w:rPr>
          <w:rStyle w:val="SCCCounselNameChar"/>
          <w:szCs w:val="24"/>
        </w:rPr>
        <w:t>Tomljanovic</w:t>
      </w:r>
      <w:proofErr w:type="spellEnd"/>
      <w:r w:rsidR="00E062D0" w:rsidRPr="00D33471">
        <w:rPr>
          <w:rStyle w:val="SCCCounselNameChar"/>
          <w:i w:val="0"/>
          <w:szCs w:val="24"/>
        </w:rPr>
        <w:t xml:space="preserve">, </w:t>
      </w:r>
      <w:proofErr w:type="gramStart"/>
      <w:r w:rsidR="00E062D0" w:rsidRPr="00D33471">
        <w:rPr>
          <w:rStyle w:val="SCCCounselNameChar"/>
          <w:szCs w:val="24"/>
        </w:rPr>
        <w:t>c.r.</w:t>
      </w:r>
      <w:r w:rsidRPr="00D33471">
        <w:rPr>
          <w:rStyle w:val="SCCCounselPartyRoleChar"/>
          <w:szCs w:val="24"/>
        </w:rPr>
        <w:t>,</w:t>
      </w:r>
      <w:proofErr w:type="gramEnd"/>
      <w:r w:rsidRPr="00D33471">
        <w:rPr>
          <w:rStyle w:val="SCCCounselPartyRoleChar"/>
          <w:szCs w:val="24"/>
        </w:rPr>
        <w:t xml:space="preserve"> pour l’intimée.</w:t>
      </w:r>
    </w:p>
    <w:p w:rsidR="007E4F56" w:rsidRPr="00D33471" w:rsidRDefault="00F25C50" w:rsidP="00FE3AAD">
      <w:pPr>
        <w:pStyle w:val="SCCNormalDoubleSpacing"/>
        <w:spacing w:after="480"/>
        <w:rPr>
          <w:rStyle w:val="SCCCounselPartyRoleChar"/>
          <w:szCs w:val="24"/>
        </w:rPr>
      </w:pPr>
      <w:r w:rsidRPr="00D33471">
        <w:rPr>
          <w:rStyle w:val="SCCCounselPartyRoleChar"/>
          <w:szCs w:val="24"/>
        </w:rPr>
        <w:tab/>
      </w:r>
      <w:r w:rsidR="007E4F56" w:rsidRPr="00D33471">
        <w:rPr>
          <w:rStyle w:val="SCCCounselPartyRoleChar"/>
          <w:szCs w:val="24"/>
        </w:rPr>
        <w:t>Version française du jugement de la Cour rendu oralement par</w:t>
      </w:r>
    </w:p>
    <w:p w:rsidR="007E4F56" w:rsidRPr="00D33471" w:rsidRDefault="007E4F56" w:rsidP="0051463A">
      <w:pPr>
        <w:spacing w:after="480" w:line="480" w:lineRule="auto"/>
        <w:jc w:val="both"/>
        <w:rPr>
          <w:szCs w:val="24"/>
        </w:rPr>
      </w:pPr>
      <w:r w:rsidRPr="00D33471">
        <w:rPr>
          <w:szCs w:val="24"/>
        </w:rPr>
        <w:t>[1]</w:t>
      </w:r>
      <w:r w:rsidRPr="00D33471">
        <w:rPr>
          <w:szCs w:val="24"/>
        </w:rPr>
        <w:tab/>
      </w:r>
      <w:r w:rsidR="00F25C50" w:rsidRPr="00D33471">
        <w:rPr>
          <w:smallCaps/>
          <w:szCs w:val="24"/>
        </w:rPr>
        <w:t>La J</w:t>
      </w:r>
      <w:r w:rsidRPr="00D33471">
        <w:rPr>
          <w:smallCaps/>
          <w:szCs w:val="24"/>
        </w:rPr>
        <w:t>uge en chef</w:t>
      </w:r>
      <w:r w:rsidRPr="00D33471">
        <w:rPr>
          <w:szCs w:val="24"/>
        </w:rPr>
        <w:t xml:space="preserve"> — </w:t>
      </w:r>
      <w:r w:rsidR="0051463A" w:rsidRPr="00D33471">
        <w:rPr>
          <w:szCs w:val="24"/>
        </w:rPr>
        <w:t>Malgré l’argumentation très compétente et très complète de l’avocate de l’appelant, nous souscrivons à l’opinion des juges majoritaires de la Cour d’appel selon laquelle le verdict n’était pas déraisonnable. Le pourvoi est en conséquence rejeté.</w:t>
      </w:r>
    </w:p>
    <w:p w:rsidR="007E4F56" w:rsidRPr="00D33471" w:rsidRDefault="007E4F56" w:rsidP="00FE3AAD">
      <w:pPr>
        <w:pStyle w:val="SCCNormalDoubleSpacing"/>
        <w:spacing w:after="480"/>
        <w:rPr>
          <w:szCs w:val="24"/>
        </w:rPr>
      </w:pPr>
      <w:r w:rsidRPr="00D33471">
        <w:rPr>
          <w:szCs w:val="24"/>
        </w:rPr>
        <w:tab/>
      </w:r>
      <w:r w:rsidRPr="00D33471">
        <w:rPr>
          <w:i/>
          <w:szCs w:val="24"/>
        </w:rPr>
        <w:t>Jugement en conséquence</w:t>
      </w:r>
      <w:r w:rsidRPr="00D33471">
        <w:rPr>
          <w:szCs w:val="24"/>
        </w:rPr>
        <w:t>.</w:t>
      </w:r>
    </w:p>
    <w:p w:rsidR="00FE3AAD" w:rsidRPr="00D33471" w:rsidRDefault="00FE3AAD" w:rsidP="00FE3AAD">
      <w:pPr>
        <w:pStyle w:val="SCCLawFirm"/>
        <w:spacing w:after="480"/>
        <w:rPr>
          <w:i w:val="0"/>
          <w:szCs w:val="24"/>
        </w:rPr>
      </w:pPr>
      <w:r w:rsidRPr="00D33471">
        <w:rPr>
          <w:szCs w:val="24"/>
        </w:rPr>
        <w:tab/>
        <w:t>Procureur</w:t>
      </w:r>
      <w:r w:rsidR="00CD59D6" w:rsidRPr="00D33471">
        <w:rPr>
          <w:szCs w:val="24"/>
        </w:rPr>
        <w:t>s</w:t>
      </w:r>
      <w:r w:rsidRPr="00D33471">
        <w:rPr>
          <w:szCs w:val="24"/>
        </w:rPr>
        <w:t xml:space="preserve"> de </w:t>
      </w:r>
      <w:r w:rsidR="00CD59D6" w:rsidRPr="00D33471">
        <w:rPr>
          <w:szCs w:val="24"/>
        </w:rPr>
        <w:t>l’appelant</w:t>
      </w:r>
      <w:r w:rsidRPr="00D33471">
        <w:rPr>
          <w:szCs w:val="24"/>
        </w:rPr>
        <w:t> : </w:t>
      </w:r>
      <w:proofErr w:type="spellStart"/>
      <w:r w:rsidR="00CD59D6" w:rsidRPr="00D33471">
        <w:rPr>
          <w:szCs w:val="24"/>
        </w:rPr>
        <w:t>Ruttan</w:t>
      </w:r>
      <w:proofErr w:type="spellEnd"/>
      <w:r w:rsidR="00CD59D6" w:rsidRPr="00D33471">
        <w:rPr>
          <w:szCs w:val="24"/>
        </w:rPr>
        <w:t xml:space="preserve"> Bates, Calgary</w:t>
      </w:r>
      <w:r w:rsidR="00CD59D6" w:rsidRPr="00D33471">
        <w:rPr>
          <w:i w:val="0"/>
          <w:szCs w:val="24"/>
        </w:rPr>
        <w:t>.</w:t>
      </w:r>
    </w:p>
    <w:p w:rsidR="00F577AF" w:rsidRPr="00D33471" w:rsidRDefault="00F643CC" w:rsidP="00580540">
      <w:pPr>
        <w:pStyle w:val="SCCLawFirm"/>
        <w:spacing w:after="480"/>
      </w:pPr>
      <w:r w:rsidRPr="00D33471">
        <w:rPr>
          <w:szCs w:val="24"/>
        </w:rPr>
        <w:lastRenderedPageBreak/>
        <w:tab/>
        <w:t>Procureur</w:t>
      </w:r>
      <w:r w:rsidR="00FE3AAD" w:rsidRPr="00D33471">
        <w:rPr>
          <w:szCs w:val="24"/>
        </w:rPr>
        <w:t xml:space="preserve"> de l’</w:t>
      </w:r>
      <w:r w:rsidRPr="00D33471">
        <w:rPr>
          <w:szCs w:val="24"/>
        </w:rPr>
        <w:t>intimée</w:t>
      </w:r>
      <w:r w:rsidR="001C76B3">
        <w:rPr>
          <w:szCs w:val="24"/>
        </w:rPr>
        <w:t> </w:t>
      </w:r>
      <w:r w:rsidR="00FE3AAD" w:rsidRPr="00D33471">
        <w:rPr>
          <w:szCs w:val="24"/>
        </w:rPr>
        <w:t>: </w:t>
      </w:r>
      <w:r w:rsidRPr="00D33471">
        <w:rPr>
          <w:szCs w:val="24"/>
        </w:rPr>
        <w:t>Procureur général de l’Alberta, Calgary</w:t>
      </w:r>
      <w:r w:rsidR="00FE3AAD" w:rsidRPr="00D33471">
        <w:rPr>
          <w:i w:val="0"/>
          <w:szCs w:val="24"/>
        </w:rPr>
        <w:t>.</w:t>
      </w:r>
    </w:p>
    <w:sectPr w:rsidR="00F577AF" w:rsidRPr="00D33471" w:rsidSect="00F25C50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267" w:right="2160" w:bottom="720" w:left="1800" w:header="1802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2EB" w:rsidRDefault="00E832EB" w:rsidP="0079173F">
      <w:r>
        <w:separator/>
      </w:r>
    </w:p>
  </w:endnote>
  <w:endnote w:type="continuationSeparator" w:id="0">
    <w:p w:rsidR="00E832EB" w:rsidRDefault="00E832EB" w:rsidP="00791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2EB" w:rsidRDefault="00E832EB">
    <w:pPr>
      <w:tabs>
        <w:tab w:val="left" w:pos="-1440"/>
        <w:tab w:val="left" w:pos="-720"/>
        <w:tab w:val="left" w:pos="0"/>
        <w:tab w:val="left" w:pos="1152"/>
        <w:tab w:val="left" w:pos="1570"/>
        <w:tab w:val="left" w:pos="1843"/>
        <w:tab w:val="left" w:pos="2261"/>
        <w:tab w:val="left" w:pos="648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2EB" w:rsidRDefault="00E832EB">
    <w:pPr>
      <w:tabs>
        <w:tab w:val="left" w:pos="-1440"/>
        <w:tab w:val="left" w:pos="-720"/>
        <w:tab w:val="left" w:pos="0"/>
        <w:tab w:val="left" w:pos="1152"/>
        <w:tab w:val="left" w:pos="1570"/>
        <w:tab w:val="left" w:pos="1843"/>
        <w:tab w:val="left" w:pos="2261"/>
        <w:tab w:val="left" w:pos="6480"/>
      </w:tabs>
      <w:spacing w:line="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2EB" w:rsidRDefault="00E832EB" w:rsidP="0079173F">
      <w:r>
        <w:separator/>
      </w:r>
    </w:p>
  </w:footnote>
  <w:footnote w:type="continuationSeparator" w:id="0">
    <w:p w:rsidR="00E832EB" w:rsidRDefault="00E832EB" w:rsidP="007917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2EB" w:rsidRDefault="00E832EB">
    <w:pPr>
      <w:tabs>
        <w:tab w:val="left" w:pos="-1440"/>
        <w:tab w:val="left" w:pos="-720"/>
        <w:tab w:val="left" w:pos="0"/>
        <w:tab w:val="left" w:pos="1152"/>
        <w:tab w:val="left" w:pos="1570"/>
        <w:tab w:val="left" w:pos="1843"/>
        <w:tab w:val="left" w:pos="2261"/>
        <w:tab w:val="left" w:pos="648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0981"/>
      <w:docPartObj>
        <w:docPartGallery w:val="Page Numbers (Top of Page)"/>
        <w:docPartUnique/>
      </w:docPartObj>
    </w:sdtPr>
    <w:sdtContent>
      <w:p w:rsidR="00E832EB" w:rsidRDefault="00E832EB">
        <w:pPr>
          <w:pStyle w:val="Header"/>
          <w:jc w:val="center"/>
        </w:pPr>
        <w:r>
          <w:t xml:space="preserve">- </w:t>
        </w:r>
        <w:fldSimple w:instr=" PAGE   \* MERGEFORMAT ">
          <w:r w:rsidR="00C276C0">
            <w:rPr>
              <w:noProof/>
            </w:rPr>
            <w:t>2</w:t>
          </w:r>
        </w:fldSimple>
        <w:r>
          <w:t xml:space="preserve"> -</w:t>
        </w:r>
      </w:p>
    </w:sdtContent>
  </w:sdt>
  <w:p w:rsidR="00E832EB" w:rsidRDefault="00E832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83EE8"/>
    <w:multiLevelType w:val="multilevel"/>
    <w:tmpl w:val="2DF0CF0E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b w:val="0"/>
        <w:strike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AAD"/>
    <w:rsid w:val="00015F16"/>
    <w:rsid w:val="00047912"/>
    <w:rsid w:val="000C391C"/>
    <w:rsid w:val="001203D8"/>
    <w:rsid w:val="001671FE"/>
    <w:rsid w:val="001A586D"/>
    <w:rsid w:val="001C76B3"/>
    <w:rsid w:val="00486F00"/>
    <w:rsid w:val="004B107E"/>
    <w:rsid w:val="0051463A"/>
    <w:rsid w:val="005400B3"/>
    <w:rsid w:val="00545F19"/>
    <w:rsid w:val="0057491C"/>
    <w:rsid w:val="00580540"/>
    <w:rsid w:val="00632DC1"/>
    <w:rsid w:val="0063656D"/>
    <w:rsid w:val="00670B97"/>
    <w:rsid w:val="0069373B"/>
    <w:rsid w:val="0079173F"/>
    <w:rsid w:val="007A0EC6"/>
    <w:rsid w:val="007E4F56"/>
    <w:rsid w:val="00882F4A"/>
    <w:rsid w:val="00883F55"/>
    <w:rsid w:val="00935A67"/>
    <w:rsid w:val="0099794E"/>
    <w:rsid w:val="009A7036"/>
    <w:rsid w:val="009E0C75"/>
    <w:rsid w:val="00AA38A2"/>
    <w:rsid w:val="00B369CE"/>
    <w:rsid w:val="00BB519E"/>
    <w:rsid w:val="00C02C04"/>
    <w:rsid w:val="00C2073C"/>
    <w:rsid w:val="00C276C0"/>
    <w:rsid w:val="00C6609C"/>
    <w:rsid w:val="00CD59D6"/>
    <w:rsid w:val="00D06251"/>
    <w:rsid w:val="00D11169"/>
    <w:rsid w:val="00D33471"/>
    <w:rsid w:val="00D3547E"/>
    <w:rsid w:val="00DC4970"/>
    <w:rsid w:val="00E062D0"/>
    <w:rsid w:val="00E1543A"/>
    <w:rsid w:val="00E63B78"/>
    <w:rsid w:val="00E6556F"/>
    <w:rsid w:val="00E832EB"/>
    <w:rsid w:val="00F25C50"/>
    <w:rsid w:val="00F577AF"/>
    <w:rsid w:val="00F643CC"/>
    <w:rsid w:val="00FE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A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A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E3A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A"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A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A" w:eastAsia="en-CA"/>
    </w:rPr>
  </w:style>
  <w:style w:type="paragraph" w:customStyle="1" w:styleId="1">
    <w:name w:val="1"/>
    <w:aliases w:val=" 2, 3, A"/>
    <w:basedOn w:val="Normal"/>
    <w:uiPriority w:val="1"/>
    <w:rsid w:val="00FE3AAD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FE3AAD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FE3AAD"/>
    <w:rPr>
      <w:rFonts w:ascii="Times New Roman" w:eastAsia="Times New Roman" w:hAnsi="Times New Roman" w:cs="Times New Roman"/>
      <w:sz w:val="24"/>
      <w:szCs w:val="20"/>
      <w:lang w:val="fr-CA" w:eastAsia="en-CA"/>
    </w:rPr>
  </w:style>
  <w:style w:type="character" w:styleId="Strong">
    <w:name w:val="Strong"/>
    <w:basedOn w:val="DefaultParagraphFont"/>
    <w:uiPriority w:val="22"/>
    <w:qFormat/>
    <w:rsid w:val="00FE3AA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E3AA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E3AAD"/>
    <w:rPr>
      <w:rFonts w:ascii="Times New Roman" w:eastAsia="Times New Roman" w:hAnsi="Times New Roman" w:cs="Times New Roman"/>
      <w:i/>
      <w:iCs/>
      <w:color w:val="000000" w:themeColor="text1"/>
      <w:sz w:val="24"/>
      <w:szCs w:val="20"/>
      <w:lang w:val="fr-CA" w:eastAsia="en-CA"/>
    </w:rPr>
  </w:style>
  <w:style w:type="character" w:styleId="PlaceholderText">
    <w:name w:val="Placeholder Text"/>
    <w:basedOn w:val="DefaultParagraphFont"/>
    <w:uiPriority w:val="99"/>
    <w:semiHidden/>
    <w:rsid w:val="00FE3A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AAD"/>
    <w:rPr>
      <w:rFonts w:ascii="Tahoma" w:eastAsia="Times New Roman" w:hAnsi="Tahoma" w:cs="Tahoma"/>
      <w:sz w:val="16"/>
      <w:szCs w:val="16"/>
      <w:lang w:val="fr-CA" w:eastAsia="en-CA"/>
    </w:rPr>
  </w:style>
  <w:style w:type="paragraph" w:styleId="Header">
    <w:name w:val="header"/>
    <w:basedOn w:val="Normal"/>
    <w:link w:val="HeaderChar"/>
    <w:uiPriority w:val="99"/>
    <w:unhideWhenUsed/>
    <w:rsid w:val="00FE3A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AAD"/>
    <w:rPr>
      <w:rFonts w:ascii="Times New Roman" w:eastAsia="Times New Roman" w:hAnsi="Times New Roman" w:cs="Times New Roman"/>
      <w:sz w:val="24"/>
      <w:szCs w:val="20"/>
      <w:lang w:val="fr-CA"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FE3A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3AAD"/>
    <w:rPr>
      <w:rFonts w:ascii="Times New Roman" w:eastAsia="Times New Roman" w:hAnsi="Times New Roman" w:cs="Times New Roman"/>
      <w:sz w:val="24"/>
      <w:szCs w:val="20"/>
      <w:lang w:val="fr-CA" w:eastAsia="en-CA"/>
    </w:rPr>
  </w:style>
  <w:style w:type="paragraph" w:customStyle="1" w:styleId="SCCLsocParty">
    <w:name w:val="SCC.Lsoc.Party"/>
    <w:basedOn w:val="Normal"/>
    <w:next w:val="Normal"/>
    <w:link w:val="SCCLsocPartyChar"/>
    <w:rsid w:val="00FE3AAD"/>
    <w:pPr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FE3AAD"/>
    <w:rPr>
      <w:rFonts w:ascii="Times New Roman" w:eastAsia="Times New Roman" w:hAnsi="Times New Roman" w:cs="Times New Roman"/>
      <w:b/>
      <w:sz w:val="24"/>
      <w:szCs w:val="20"/>
      <w:lang w:val="fr-CA" w:eastAsia="en-CA"/>
    </w:rPr>
  </w:style>
  <w:style w:type="paragraph" w:customStyle="1" w:styleId="SCCLsocVersus">
    <w:name w:val="SCC.Lsoc.Versus"/>
    <w:basedOn w:val="Normal"/>
    <w:next w:val="Normal"/>
    <w:link w:val="SCCLsocVersusChar"/>
    <w:rsid w:val="00FE3AAD"/>
    <w:rPr>
      <w:i/>
    </w:rPr>
  </w:style>
  <w:style w:type="character" w:customStyle="1" w:styleId="SCCLsocVersusChar">
    <w:name w:val="SCC.Lsoc.Versus Char"/>
    <w:basedOn w:val="DefaultParagraphFont"/>
    <w:link w:val="SCCLsocVersus"/>
    <w:rsid w:val="00FE3AAD"/>
    <w:rPr>
      <w:rFonts w:ascii="Times New Roman" w:eastAsia="Times New Roman" w:hAnsi="Times New Roman" w:cs="Times New Roman"/>
      <w:i/>
      <w:sz w:val="24"/>
      <w:szCs w:val="20"/>
      <w:lang w:val="fr-CA" w:eastAsia="en-CA"/>
    </w:rPr>
  </w:style>
  <w:style w:type="paragraph" w:customStyle="1" w:styleId="SCCLsocPartyRole">
    <w:name w:val="SCC.Lsoc.PartyRole"/>
    <w:basedOn w:val="Normal"/>
    <w:next w:val="Normal"/>
    <w:link w:val="SCCLsocPartyRoleChar"/>
    <w:rsid w:val="00FE3AAD"/>
    <w:pPr>
      <w:jc w:val="right"/>
    </w:pPr>
    <w:rPr>
      <w:i/>
    </w:rPr>
  </w:style>
  <w:style w:type="character" w:customStyle="1" w:styleId="SCCLsocPartyRoleChar">
    <w:name w:val="SCC.Lsoc.PartyRole Char"/>
    <w:basedOn w:val="DefaultParagraphFont"/>
    <w:link w:val="SCCLsocPartyRole"/>
    <w:rsid w:val="00FE3AAD"/>
    <w:rPr>
      <w:rFonts w:ascii="Times New Roman" w:eastAsia="Times New Roman" w:hAnsi="Times New Roman" w:cs="Times New Roman"/>
      <w:i/>
      <w:sz w:val="24"/>
      <w:szCs w:val="20"/>
      <w:lang w:val="fr-CA" w:eastAsia="en-CA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FE3AAD"/>
  </w:style>
  <w:style w:type="character" w:customStyle="1" w:styleId="SCCLsocSubfileSeparatorChar">
    <w:name w:val="SCC.Lsoc.SubfileSeparator Char"/>
    <w:basedOn w:val="DefaultParagraphFont"/>
    <w:link w:val="SCCLsocSubfileSeparator"/>
    <w:rsid w:val="00FE3AAD"/>
    <w:rPr>
      <w:rFonts w:ascii="Times New Roman" w:eastAsia="Times New Roman" w:hAnsi="Times New Roman" w:cs="Times New Roman"/>
      <w:sz w:val="24"/>
      <w:szCs w:val="20"/>
      <w:lang w:val="fr-CA" w:eastAsia="en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FE3AAD"/>
  </w:style>
  <w:style w:type="character" w:customStyle="1" w:styleId="SCCLsocOtherPartySeparatorChar">
    <w:name w:val="SCC.Lsoc.OtherPartySeparator Char"/>
    <w:basedOn w:val="DefaultParagraphFont"/>
    <w:link w:val="SCCLsocOtherPartySeparator"/>
    <w:rsid w:val="00FE3AAD"/>
    <w:rPr>
      <w:rFonts w:ascii="Times New Roman" w:eastAsia="Times New Roman" w:hAnsi="Times New Roman" w:cs="Times New Roman"/>
      <w:sz w:val="24"/>
      <w:szCs w:val="20"/>
      <w:lang w:val="fr-CA" w:eastAsia="en-CA"/>
    </w:rPr>
  </w:style>
  <w:style w:type="paragraph" w:customStyle="1" w:styleId="SCCBanSummary">
    <w:name w:val="SCC.BanSummary"/>
    <w:basedOn w:val="Normal"/>
    <w:next w:val="Normal"/>
    <w:rsid w:val="00FE3AAD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FE3AAD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FE3AAD"/>
    <w:rPr>
      <w:rFonts w:ascii="Times New Roman" w:eastAsia="Times New Roman" w:hAnsi="Times New Roman" w:cs="Times New Roman"/>
      <w:smallCaps/>
      <w:sz w:val="24"/>
      <w:szCs w:val="20"/>
      <w:lang w:val="fr-CA" w:eastAsia="en-CA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FE3AAD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FE3AAD"/>
    <w:rPr>
      <w:rFonts w:ascii="Times New Roman" w:eastAsia="Times New Roman" w:hAnsi="Times New Roman" w:cs="Times New Roman"/>
      <w:smallCaps/>
      <w:sz w:val="24"/>
      <w:szCs w:val="20"/>
      <w:lang w:val="fr-CA" w:eastAsia="en-CA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FE3AAD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FE3AAD"/>
    <w:rPr>
      <w:rFonts w:ascii="Times New Roman" w:eastAsia="Times New Roman" w:hAnsi="Times New Roman" w:cs="Times New Roman"/>
      <w:b/>
      <w:sz w:val="24"/>
      <w:szCs w:val="20"/>
      <w:lang w:val="fr-CA" w:eastAsia="en-CA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FE3AAD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FE3AAD"/>
    <w:rPr>
      <w:rFonts w:ascii="Times New Roman" w:eastAsia="Times New Roman" w:hAnsi="Times New Roman" w:cs="Times New Roman"/>
      <w:b/>
      <w:sz w:val="24"/>
      <w:szCs w:val="20"/>
      <w:lang w:val="fr-CA" w:eastAsia="en-CA"/>
    </w:rPr>
  </w:style>
  <w:style w:type="paragraph" w:customStyle="1" w:styleId="SCCSystemYear">
    <w:name w:val="SCC.SystemYear"/>
    <w:basedOn w:val="Normal"/>
    <w:next w:val="Normal"/>
    <w:link w:val="SCCSystemYearChar"/>
    <w:rsid w:val="00FE3AAD"/>
    <w:rPr>
      <w:b/>
    </w:rPr>
  </w:style>
  <w:style w:type="character" w:customStyle="1" w:styleId="SCCSystemYearChar">
    <w:name w:val="SCC.SystemYear Char"/>
    <w:basedOn w:val="DefaultParagraphFont"/>
    <w:link w:val="SCCSystemYear"/>
    <w:rsid w:val="00FE3AAD"/>
    <w:rPr>
      <w:rFonts w:ascii="Times New Roman" w:eastAsia="Times New Roman" w:hAnsi="Times New Roman" w:cs="Times New Roman"/>
      <w:b/>
      <w:sz w:val="24"/>
      <w:szCs w:val="20"/>
      <w:lang w:val="fr-CA" w:eastAsia="en-CA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FE3AAD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FE3AAD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FE3AAD"/>
    <w:rPr>
      <w:i/>
    </w:rPr>
  </w:style>
  <w:style w:type="paragraph" w:customStyle="1" w:styleId="SCCItalic">
    <w:name w:val="SCC.Italic"/>
    <w:basedOn w:val="SCCNormalDoubleSpacing"/>
    <w:next w:val="SCCNormalDoubleSpacing"/>
    <w:rsid w:val="00FE3AAD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FE3AAD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FE3AAD"/>
    <w:rPr>
      <w:rFonts w:ascii="Times New Roman" w:eastAsia="Times New Roman" w:hAnsi="Times New Roman" w:cs="Times New Roman"/>
      <w:i/>
      <w:sz w:val="24"/>
      <w:szCs w:val="20"/>
      <w:lang w:val="fr-CA" w:eastAsia="en-CA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FE3AAD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FE3AAD"/>
    <w:rPr>
      <w:rFonts w:ascii="Times New Roman" w:eastAsia="Times New Roman" w:hAnsi="Times New Roman" w:cs="Times New Roman"/>
      <w:i/>
      <w:sz w:val="24"/>
      <w:szCs w:val="20"/>
      <w:lang w:val="fr-CA" w:eastAsia="en-CA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FE3AAD"/>
  </w:style>
  <w:style w:type="character" w:customStyle="1" w:styleId="SCCCounselSeparatorChar">
    <w:name w:val="SCC.CounselSeparator Char"/>
    <w:basedOn w:val="SCCNormalDoubleSpacingChar"/>
    <w:link w:val="SCCCounselSeparator"/>
    <w:rsid w:val="00FE3AAD"/>
  </w:style>
  <w:style w:type="paragraph" w:customStyle="1" w:styleId="SCCPartyRole">
    <w:name w:val="SCC.PartyRole"/>
    <w:basedOn w:val="SCCNormalDoubleSpacing"/>
    <w:next w:val="SCCNormalDoubleSpacing"/>
    <w:link w:val="SCCPartyRoleChar"/>
    <w:rsid w:val="00FE3AAD"/>
  </w:style>
  <w:style w:type="character" w:customStyle="1" w:styleId="SCCPartyRoleChar">
    <w:name w:val="SCC.PartyRole Char"/>
    <w:basedOn w:val="SCCNormalDoubleSpacingChar"/>
    <w:link w:val="SCCPartyRole"/>
    <w:rsid w:val="00FE3AAD"/>
  </w:style>
  <w:style w:type="paragraph" w:customStyle="1" w:styleId="SCCLawFirm">
    <w:name w:val="SCC.LawFirm"/>
    <w:basedOn w:val="SCCNormalDoubleSpacing"/>
    <w:next w:val="SCCNormalDoubleSpacing"/>
    <w:link w:val="SCCLawFirmChar"/>
    <w:rsid w:val="00FE3AAD"/>
    <w:rPr>
      <w:i/>
    </w:rPr>
  </w:style>
  <w:style w:type="character" w:customStyle="1" w:styleId="SCCLawFirmChar">
    <w:name w:val="SCC.LawFirm Char"/>
    <w:basedOn w:val="SCCNormalDoubleSpacingChar"/>
    <w:link w:val="SCCLawFirm"/>
    <w:rsid w:val="00FE3AAD"/>
    <w:rPr>
      <w:i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FE3AAD"/>
  </w:style>
  <w:style w:type="character" w:customStyle="1" w:styleId="SCCCounselPartyRoleChar">
    <w:name w:val="SCC.CounselPartyRole Char"/>
    <w:basedOn w:val="SCCNormalDoubleSpacingChar"/>
    <w:link w:val="SCCCounselPartyRole"/>
    <w:rsid w:val="00FE3AAD"/>
  </w:style>
  <w:style w:type="paragraph" w:customStyle="1" w:styleId="ParaNoNdepar-AltN">
    <w:name w:val="Para. No. / Nº de par. - Alt N"/>
    <w:qFormat/>
    <w:rsid w:val="00FE3AAD"/>
    <w:pPr>
      <w:numPr>
        <w:numId w:val="1"/>
      </w:numPr>
      <w:spacing w:before="480" w:after="480" w:line="480" w:lineRule="auto"/>
      <w:jc w:val="both"/>
    </w:pPr>
    <w:rPr>
      <w:rFonts w:ascii="Times New Roman" w:eastAsiaTheme="minorEastAsia" w:hAnsi="Times New Roman"/>
      <w:sz w:val="24"/>
      <w:lang w:val="en-CA"/>
    </w:rPr>
  </w:style>
  <w:style w:type="paragraph" w:styleId="ListParagraph">
    <w:name w:val="List Paragraph"/>
    <w:basedOn w:val="Normal"/>
    <w:uiPriority w:val="34"/>
    <w:qFormat/>
    <w:rsid w:val="00FE3AAD"/>
    <w:pPr>
      <w:ind w:left="720"/>
      <w:contextualSpacing/>
    </w:pPr>
  </w:style>
  <w:style w:type="table" w:styleId="TableGrid">
    <w:name w:val="Table Grid"/>
    <w:basedOn w:val="TableNormal"/>
    <w:uiPriority w:val="59"/>
    <w:rsid w:val="00C276C0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CCLsocPrefix">
    <w:name w:val="SCC.Lsoc.Prefix"/>
    <w:basedOn w:val="Normal"/>
    <w:next w:val="Normal"/>
    <w:link w:val="SCCLsocPrefixChar"/>
    <w:rsid w:val="00C276C0"/>
    <w:rPr>
      <w:rFonts w:eastAsiaTheme="minorHAnsi" w:cstheme="minorBidi"/>
      <w:b/>
      <w:smallCaps/>
      <w:szCs w:val="24"/>
      <w:lang w:eastAsia="en-US"/>
    </w:rPr>
  </w:style>
  <w:style w:type="character" w:customStyle="1" w:styleId="SCCLsocPrefixChar">
    <w:name w:val="SCC.Lsoc.Prefix Char"/>
    <w:basedOn w:val="DefaultParagraphFont"/>
    <w:link w:val="SCCLsocPrefix"/>
    <w:rsid w:val="00C276C0"/>
    <w:rPr>
      <w:rFonts w:ascii="Times New Roman" w:hAnsi="Times New Roman"/>
      <w:b/>
      <w:smallCaps/>
      <w:sz w:val="24"/>
      <w:szCs w:val="24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DAC54-98D6-43EF-B487-6D1706A3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345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2012-05-02T14:47:00Z</dcterms:created>
  <dcterms:modified xsi:type="dcterms:W3CDTF">2012-09-14T16:58:00Z</dcterms:modified>
</cp:coreProperties>
</file>