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43" w:rsidRPr="00AA4A7F" w:rsidRDefault="00A74F43" w:rsidP="00A74F43">
      <w:pPr>
        <w:tabs>
          <w:tab w:val="center" w:pos="4680"/>
          <w:tab w:val="right" w:pos="9360"/>
        </w:tabs>
        <w:jc w:val="center"/>
        <w:rPr>
          <w:rFonts w:eastAsiaTheme="minorHAnsi" w:cstheme="minorBidi"/>
          <w:szCs w:val="24"/>
          <w:lang w:eastAsia="en-US"/>
        </w:rPr>
      </w:pPr>
      <w:r w:rsidRPr="00AA4A7F">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09053054" r:id="rId8"/>
        </w:object>
      </w:r>
    </w:p>
    <w:p w:rsidR="00A74F43" w:rsidRPr="00AA4A7F" w:rsidRDefault="00A74F43" w:rsidP="00A74F43">
      <w:pPr>
        <w:tabs>
          <w:tab w:val="center" w:pos="4680"/>
          <w:tab w:val="right" w:pos="9360"/>
        </w:tabs>
        <w:rPr>
          <w:rFonts w:eastAsiaTheme="minorHAnsi" w:cstheme="minorBidi"/>
          <w:szCs w:val="24"/>
          <w:lang w:eastAsia="en-US"/>
        </w:rPr>
      </w:pPr>
    </w:p>
    <w:p w:rsidR="00A74F43" w:rsidRPr="00AA4A7F" w:rsidRDefault="00A74F43" w:rsidP="00A74F43">
      <w:pPr>
        <w:jc w:val="center"/>
        <w:rPr>
          <w:rFonts w:eastAsiaTheme="minorHAnsi" w:cstheme="minorBidi"/>
          <w:b/>
          <w:szCs w:val="24"/>
          <w:lang w:eastAsia="en-US"/>
        </w:rPr>
      </w:pPr>
      <w:r w:rsidRPr="00AA4A7F">
        <w:rPr>
          <w:rFonts w:eastAsiaTheme="minorHAnsi" w:cstheme="minorBidi"/>
          <w:b/>
          <w:szCs w:val="24"/>
          <w:lang w:eastAsia="en-US"/>
        </w:rPr>
        <w:t>COUR SUPRÊME DU CANADA</w:t>
      </w:r>
    </w:p>
    <w:p w:rsidR="00A74F43" w:rsidRPr="00AA4A7F" w:rsidRDefault="00A74F43" w:rsidP="00A74F43">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74F43" w:rsidRPr="00AA4A7F" w:rsidTr="00BD1516">
        <w:trPr>
          <w:cantSplit/>
        </w:trPr>
        <w:tc>
          <w:tcPr>
            <w:tcW w:w="6768" w:type="dxa"/>
          </w:tcPr>
          <w:p w:rsidR="00A74F43" w:rsidRPr="00A74F43" w:rsidRDefault="00A74F43" w:rsidP="00BD1516">
            <w:pPr>
              <w:rPr>
                <w:lang w:val="en-CA"/>
              </w:rPr>
            </w:pPr>
            <w:r w:rsidRPr="00A74F43">
              <w:rPr>
                <w:b/>
                <w:smallCaps/>
                <w:lang w:val="en-CA"/>
              </w:rPr>
              <w:t>Référence :</w:t>
            </w:r>
            <w:r w:rsidRPr="00A74F43">
              <w:rPr>
                <w:lang w:val="en-CA"/>
              </w:rPr>
              <w:t xml:space="preserve"> Fundy Settlement </w:t>
            </w:r>
            <w:r w:rsidRPr="00A74F43">
              <w:rPr>
                <w:i/>
                <w:lang w:val="en-CA"/>
              </w:rPr>
              <w:t>c</w:t>
            </w:r>
            <w:r w:rsidRPr="00A74F43">
              <w:rPr>
                <w:lang w:val="en-CA"/>
              </w:rPr>
              <w:t xml:space="preserve">. Canada, </w:t>
            </w:r>
            <w:r w:rsidRPr="00A74F43">
              <w:rPr>
                <w:szCs w:val="24"/>
                <w:lang w:val="en-CA"/>
              </w:rPr>
              <w:t>2012 CSC 14, [2012] 1 R.C.S. 520</w:t>
            </w:r>
          </w:p>
        </w:tc>
        <w:tc>
          <w:tcPr>
            <w:tcW w:w="2808" w:type="dxa"/>
          </w:tcPr>
          <w:p w:rsidR="00A74F43" w:rsidRPr="00AA4A7F" w:rsidRDefault="00A74F43" w:rsidP="00BD1516">
            <w:r w:rsidRPr="00AA4A7F">
              <w:rPr>
                <w:b/>
                <w:smallCaps/>
              </w:rPr>
              <w:t>Date :</w:t>
            </w:r>
            <w:r w:rsidRPr="00AA4A7F">
              <w:t xml:space="preserve"> 20120412</w:t>
            </w:r>
          </w:p>
          <w:p w:rsidR="00A74F43" w:rsidRPr="00AA4A7F" w:rsidRDefault="00A74F43" w:rsidP="00BD1516">
            <w:r w:rsidRPr="00AA4A7F">
              <w:rPr>
                <w:b/>
                <w:smallCaps/>
              </w:rPr>
              <w:t>Dossier :</w:t>
            </w:r>
            <w:r w:rsidRPr="00AA4A7F">
              <w:t xml:space="preserve"> 34056, 34057</w:t>
            </w:r>
          </w:p>
        </w:tc>
      </w:tr>
    </w:tbl>
    <w:p w:rsidR="00A74F43" w:rsidRPr="00AA4A7F" w:rsidRDefault="00A74F43" w:rsidP="00A74F43">
      <w:pPr>
        <w:rPr>
          <w:rFonts w:eastAsiaTheme="minorHAnsi" w:cstheme="minorBidi"/>
          <w:szCs w:val="24"/>
          <w:lang w:eastAsia="en-US"/>
        </w:rPr>
      </w:pPr>
    </w:p>
    <w:p w:rsidR="00A74F43" w:rsidRPr="00AA4A7F" w:rsidRDefault="00A74F43" w:rsidP="00A74F43">
      <w:pPr>
        <w:rPr>
          <w:rFonts w:eastAsiaTheme="minorHAnsi" w:cstheme="minorBidi"/>
          <w:b/>
          <w:smallCaps/>
          <w:szCs w:val="24"/>
          <w:lang w:eastAsia="en-US"/>
        </w:rPr>
      </w:pPr>
      <w:r w:rsidRPr="00AA4A7F">
        <w:rPr>
          <w:rFonts w:eastAsiaTheme="minorHAnsi" w:cstheme="minorBidi"/>
          <w:b/>
          <w:smallCaps/>
          <w:szCs w:val="24"/>
          <w:lang w:eastAsia="en-US"/>
        </w:rPr>
        <w:t>Entre :</w:t>
      </w:r>
    </w:p>
    <w:p w:rsidR="00A74F43" w:rsidRPr="00AA4A7F" w:rsidRDefault="00A74F43" w:rsidP="00A74F43">
      <w:pPr>
        <w:jc w:val="center"/>
        <w:rPr>
          <w:rFonts w:eastAsiaTheme="minorHAnsi" w:cstheme="minorBidi"/>
          <w:b/>
          <w:szCs w:val="24"/>
          <w:lang w:eastAsia="en-US"/>
        </w:rPr>
      </w:pPr>
      <w:r w:rsidRPr="00AA4A7F">
        <w:rPr>
          <w:rFonts w:eastAsiaTheme="minorHAnsi" w:cstheme="minorBidi"/>
          <w:b/>
          <w:szCs w:val="24"/>
          <w:lang w:eastAsia="en-US"/>
        </w:rPr>
        <w:t xml:space="preserve">St. Michael Trust Corp., en sa qualité de fiduciaire de Fundy </w:t>
      </w:r>
      <w:proofErr w:type="spellStart"/>
      <w:r w:rsidRPr="00AA4A7F">
        <w:rPr>
          <w:rFonts w:eastAsiaTheme="minorHAnsi" w:cstheme="minorBidi"/>
          <w:b/>
          <w:szCs w:val="24"/>
          <w:lang w:eastAsia="en-US"/>
        </w:rPr>
        <w:t>Settlement</w:t>
      </w:r>
      <w:proofErr w:type="spellEnd"/>
    </w:p>
    <w:p w:rsidR="00A74F43" w:rsidRPr="00AA4A7F" w:rsidRDefault="00A74F43" w:rsidP="00A74F43">
      <w:pPr>
        <w:jc w:val="center"/>
        <w:rPr>
          <w:rFonts w:eastAsiaTheme="minorHAnsi" w:cstheme="minorBidi"/>
          <w:szCs w:val="24"/>
          <w:lang w:eastAsia="en-US"/>
        </w:rPr>
      </w:pPr>
      <w:r w:rsidRPr="00AA4A7F">
        <w:rPr>
          <w:rFonts w:eastAsiaTheme="minorHAnsi" w:cstheme="minorBidi"/>
          <w:szCs w:val="24"/>
          <w:lang w:eastAsia="en-US"/>
        </w:rPr>
        <w:t>Appelante</w:t>
      </w:r>
    </w:p>
    <w:p w:rsidR="00A74F43" w:rsidRPr="00AA4A7F" w:rsidRDefault="00A74F43" w:rsidP="00A74F43">
      <w:pPr>
        <w:jc w:val="center"/>
        <w:rPr>
          <w:rFonts w:eastAsiaTheme="minorHAnsi" w:cstheme="minorBidi"/>
          <w:szCs w:val="24"/>
          <w:lang w:eastAsia="en-US"/>
        </w:rPr>
      </w:pPr>
      <w:proofErr w:type="gramStart"/>
      <w:r w:rsidRPr="00AA4A7F">
        <w:rPr>
          <w:rFonts w:eastAsiaTheme="minorHAnsi" w:cstheme="minorBidi"/>
          <w:szCs w:val="24"/>
          <w:lang w:eastAsia="en-US"/>
        </w:rPr>
        <w:t>et</w:t>
      </w:r>
      <w:proofErr w:type="gramEnd"/>
    </w:p>
    <w:p w:rsidR="00A74F43" w:rsidRPr="00AA4A7F" w:rsidRDefault="00A74F43" w:rsidP="00A74F43">
      <w:pPr>
        <w:jc w:val="center"/>
        <w:rPr>
          <w:rFonts w:eastAsiaTheme="minorHAnsi" w:cstheme="minorBidi"/>
          <w:b/>
          <w:szCs w:val="24"/>
          <w:lang w:eastAsia="en-US"/>
        </w:rPr>
      </w:pPr>
      <w:r w:rsidRPr="00AA4A7F">
        <w:rPr>
          <w:rFonts w:eastAsiaTheme="minorHAnsi" w:cstheme="minorBidi"/>
          <w:b/>
          <w:szCs w:val="24"/>
          <w:lang w:eastAsia="en-US"/>
        </w:rPr>
        <w:t>Sa Majesté la Reine</w:t>
      </w:r>
    </w:p>
    <w:p w:rsidR="00A74F43" w:rsidRPr="00AA4A7F" w:rsidRDefault="00A74F43" w:rsidP="00A74F43">
      <w:pPr>
        <w:jc w:val="center"/>
        <w:rPr>
          <w:rFonts w:eastAsiaTheme="minorHAnsi" w:cstheme="minorBidi"/>
          <w:szCs w:val="24"/>
          <w:lang w:eastAsia="en-US"/>
        </w:rPr>
      </w:pPr>
      <w:r w:rsidRPr="00AA4A7F">
        <w:rPr>
          <w:rFonts w:eastAsiaTheme="minorHAnsi" w:cstheme="minorBidi"/>
          <w:szCs w:val="24"/>
          <w:lang w:eastAsia="en-US"/>
        </w:rPr>
        <w:t>Intimée</w:t>
      </w:r>
      <w:r w:rsidRPr="00AA4A7F">
        <w:rPr>
          <w:rFonts w:eastAsiaTheme="minorHAnsi" w:cstheme="minorBidi"/>
          <w:szCs w:val="24"/>
          <w:lang w:eastAsia="en-US"/>
        </w:rPr>
        <w:br/>
      </w:r>
    </w:p>
    <w:p w:rsidR="00A74F43" w:rsidRPr="00AA4A7F" w:rsidRDefault="00A74F43" w:rsidP="00A74F43">
      <w:pPr>
        <w:rPr>
          <w:rFonts w:eastAsiaTheme="minorHAnsi" w:cstheme="minorBidi"/>
          <w:b/>
          <w:smallCaps/>
          <w:szCs w:val="24"/>
          <w:lang w:eastAsia="en-US"/>
        </w:rPr>
      </w:pPr>
      <w:r w:rsidRPr="00AA4A7F">
        <w:rPr>
          <w:rFonts w:eastAsiaTheme="minorHAnsi" w:cstheme="minorBidi"/>
          <w:b/>
          <w:smallCaps/>
          <w:szCs w:val="24"/>
          <w:lang w:eastAsia="en-US"/>
        </w:rPr>
        <w:t>Et entre :</w:t>
      </w:r>
    </w:p>
    <w:p w:rsidR="00A74F43" w:rsidRPr="00AA4A7F" w:rsidRDefault="00A74F43" w:rsidP="00A74F43">
      <w:pPr>
        <w:jc w:val="center"/>
        <w:rPr>
          <w:rFonts w:eastAsiaTheme="minorHAnsi" w:cstheme="minorBidi"/>
          <w:b/>
          <w:szCs w:val="24"/>
          <w:lang w:eastAsia="en-US"/>
        </w:rPr>
      </w:pPr>
      <w:r w:rsidRPr="00AA4A7F">
        <w:rPr>
          <w:rFonts w:eastAsiaTheme="minorHAnsi" w:cstheme="minorBidi"/>
          <w:b/>
          <w:szCs w:val="24"/>
          <w:lang w:eastAsia="en-US"/>
        </w:rPr>
        <w:t xml:space="preserve">St. Michael Trust Corp., en sa qualité de fiduciaire de </w:t>
      </w:r>
      <w:proofErr w:type="spellStart"/>
      <w:r w:rsidRPr="00AA4A7F">
        <w:rPr>
          <w:rFonts w:eastAsiaTheme="minorHAnsi" w:cstheme="minorBidi"/>
          <w:b/>
          <w:szCs w:val="24"/>
          <w:lang w:eastAsia="en-US"/>
        </w:rPr>
        <w:t>Summersby</w:t>
      </w:r>
      <w:proofErr w:type="spellEnd"/>
      <w:r w:rsidRPr="00AA4A7F">
        <w:rPr>
          <w:rFonts w:eastAsiaTheme="minorHAnsi" w:cstheme="minorBidi"/>
          <w:b/>
          <w:szCs w:val="24"/>
          <w:lang w:eastAsia="en-US"/>
        </w:rPr>
        <w:t xml:space="preserve"> </w:t>
      </w:r>
      <w:proofErr w:type="spellStart"/>
      <w:r w:rsidRPr="00AA4A7F">
        <w:rPr>
          <w:rFonts w:eastAsiaTheme="minorHAnsi" w:cstheme="minorBidi"/>
          <w:b/>
          <w:szCs w:val="24"/>
          <w:lang w:eastAsia="en-US"/>
        </w:rPr>
        <w:t>Settlement</w:t>
      </w:r>
      <w:proofErr w:type="spellEnd"/>
    </w:p>
    <w:p w:rsidR="00A74F43" w:rsidRPr="00AA4A7F" w:rsidRDefault="00A74F43" w:rsidP="00A74F43">
      <w:pPr>
        <w:jc w:val="center"/>
        <w:rPr>
          <w:rFonts w:eastAsiaTheme="minorHAnsi" w:cstheme="minorBidi"/>
          <w:szCs w:val="24"/>
          <w:lang w:eastAsia="en-US"/>
        </w:rPr>
      </w:pPr>
      <w:r w:rsidRPr="00AA4A7F">
        <w:rPr>
          <w:rFonts w:eastAsiaTheme="minorHAnsi" w:cstheme="minorBidi"/>
          <w:szCs w:val="24"/>
          <w:lang w:eastAsia="en-US"/>
        </w:rPr>
        <w:t>Appelante</w:t>
      </w:r>
    </w:p>
    <w:p w:rsidR="00A74F43" w:rsidRPr="00AA4A7F" w:rsidRDefault="00A74F43" w:rsidP="00A74F43">
      <w:pPr>
        <w:jc w:val="center"/>
        <w:rPr>
          <w:rFonts w:eastAsiaTheme="minorHAnsi" w:cstheme="minorBidi"/>
          <w:szCs w:val="24"/>
          <w:lang w:eastAsia="en-US"/>
        </w:rPr>
      </w:pPr>
      <w:proofErr w:type="gramStart"/>
      <w:r w:rsidRPr="00AA4A7F">
        <w:rPr>
          <w:rFonts w:eastAsiaTheme="minorHAnsi" w:cstheme="minorBidi"/>
          <w:szCs w:val="24"/>
          <w:lang w:eastAsia="en-US"/>
        </w:rPr>
        <w:t>et</w:t>
      </w:r>
      <w:proofErr w:type="gramEnd"/>
    </w:p>
    <w:p w:rsidR="00A74F43" w:rsidRPr="00AA4A7F" w:rsidRDefault="00A74F43" w:rsidP="00A74F43">
      <w:pPr>
        <w:jc w:val="center"/>
        <w:rPr>
          <w:rFonts w:eastAsiaTheme="minorHAnsi" w:cstheme="minorBidi"/>
          <w:b/>
          <w:szCs w:val="24"/>
          <w:lang w:eastAsia="en-US"/>
        </w:rPr>
      </w:pPr>
      <w:r w:rsidRPr="00AA4A7F">
        <w:rPr>
          <w:rFonts w:eastAsiaTheme="minorHAnsi" w:cstheme="minorBidi"/>
          <w:b/>
          <w:szCs w:val="24"/>
          <w:lang w:eastAsia="en-US"/>
        </w:rPr>
        <w:t>Sa Majesté la Reine</w:t>
      </w:r>
    </w:p>
    <w:p w:rsidR="00A74F43" w:rsidRPr="00AA4A7F" w:rsidRDefault="00A74F43" w:rsidP="00A74F43">
      <w:pPr>
        <w:jc w:val="center"/>
        <w:rPr>
          <w:rFonts w:eastAsiaTheme="minorHAnsi" w:cstheme="minorBidi"/>
          <w:szCs w:val="24"/>
          <w:lang w:eastAsia="en-US"/>
        </w:rPr>
      </w:pPr>
      <w:r w:rsidRPr="00AA4A7F">
        <w:rPr>
          <w:rFonts w:eastAsiaTheme="minorHAnsi" w:cstheme="minorBidi"/>
          <w:szCs w:val="24"/>
          <w:lang w:eastAsia="en-US"/>
        </w:rPr>
        <w:t>Intimée</w:t>
      </w:r>
    </w:p>
    <w:p w:rsidR="00A74F43" w:rsidRPr="00AA4A7F" w:rsidRDefault="00A74F43" w:rsidP="00A74F43">
      <w:pPr>
        <w:rPr>
          <w:rFonts w:eastAsiaTheme="minorHAnsi" w:cstheme="minorBidi"/>
          <w:szCs w:val="24"/>
          <w:lang w:eastAsia="en-US"/>
        </w:rPr>
      </w:pPr>
    </w:p>
    <w:p w:rsidR="00A74F43" w:rsidRPr="00AA4A7F" w:rsidRDefault="00A74F43" w:rsidP="00A74F43">
      <w:pPr>
        <w:rPr>
          <w:rFonts w:eastAsiaTheme="minorHAnsi" w:cstheme="minorBidi"/>
          <w:szCs w:val="24"/>
          <w:lang w:eastAsia="en-US"/>
        </w:rPr>
      </w:pPr>
    </w:p>
    <w:p w:rsidR="00A74F43" w:rsidRPr="00AA4A7F" w:rsidRDefault="00A74F43" w:rsidP="00A74F43">
      <w:pPr>
        <w:jc w:val="center"/>
        <w:rPr>
          <w:rFonts w:eastAsiaTheme="minorHAnsi" w:cstheme="minorBidi"/>
          <w:b/>
          <w:smallCaps/>
          <w:szCs w:val="24"/>
          <w:lang w:eastAsia="en-US"/>
        </w:rPr>
      </w:pPr>
      <w:r w:rsidRPr="00AA4A7F">
        <w:rPr>
          <w:rFonts w:eastAsiaTheme="minorHAnsi" w:cstheme="minorBidi"/>
          <w:b/>
          <w:smallCaps/>
          <w:szCs w:val="24"/>
          <w:lang w:eastAsia="en-US"/>
        </w:rPr>
        <w:t>Traduction française officielle</w:t>
      </w:r>
    </w:p>
    <w:p w:rsidR="00A74F43" w:rsidRPr="00AA4A7F" w:rsidRDefault="00A74F43" w:rsidP="00A74F43">
      <w:pPr>
        <w:rPr>
          <w:rFonts w:eastAsiaTheme="minorHAnsi" w:cstheme="minorBidi"/>
          <w:szCs w:val="24"/>
          <w:lang w:eastAsia="en-US"/>
        </w:rPr>
      </w:pPr>
    </w:p>
    <w:p w:rsidR="00A74F43" w:rsidRPr="00AA4A7F" w:rsidRDefault="00A74F43" w:rsidP="00A74F43">
      <w:pPr>
        <w:rPr>
          <w:rFonts w:eastAsiaTheme="minorHAnsi" w:cstheme="minorBidi"/>
          <w:szCs w:val="24"/>
          <w:lang w:eastAsia="en-US"/>
        </w:rPr>
      </w:pPr>
      <w:r w:rsidRPr="00AA4A7F">
        <w:rPr>
          <w:rFonts w:eastAsiaTheme="minorHAnsi" w:cstheme="minorBidi"/>
          <w:b/>
          <w:smallCaps/>
          <w:szCs w:val="24"/>
          <w:lang w:eastAsia="en-US"/>
        </w:rPr>
        <w:t>Coram :</w:t>
      </w:r>
      <w:r w:rsidRPr="00AA4A7F">
        <w:rPr>
          <w:rFonts w:eastAsiaTheme="minorHAnsi" w:cstheme="minorBidi"/>
          <w:szCs w:val="24"/>
          <w:lang w:eastAsia="en-US"/>
        </w:rPr>
        <w:t xml:space="preserve"> Les juges </w:t>
      </w:r>
      <w:proofErr w:type="spellStart"/>
      <w:r w:rsidRPr="00AA4A7F">
        <w:rPr>
          <w:rFonts w:eastAsiaTheme="minorHAnsi" w:cstheme="minorBidi"/>
          <w:szCs w:val="24"/>
          <w:lang w:eastAsia="en-US"/>
        </w:rPr>
        <w:t>LeBel</w:t>
      </w:r>
      <w:proofErr w:type="spellEnd"/>
      <w:r w:rsidRPr="00AA4A7F">
        <w:rPr>
          <w:rFonts w:eastAsiaTheme="minorHAnsi" w:cstheme="minorBidi"/>
          <w:szCs w:val="24"/>
          <w:lang w:eastAsia="en-US"/>
        </w:rPr>
        <w:t xml:space="preserve">, Deschamps, Fish, Abella, </w:t>
      </w:r>
      <w:proofErr w:type="spellStart"/>
      <w:r w:rsidRPr="00AA4A7F">
        <w:rPr>
          <w:rFonts w:eastAsiaTheme="minorHAnsi" w:cstheme="minorBidi"/>
          <w:szCs w:val="24"/>
          <w:lang w:eastAsia="en-US"/>
        </w:rPr>
        <w:t>Rothstein</w:t>
      </w:r>
      <w:proofErr w:type="spellEnd"/>
      <w:r w:rsidRPr="00AA4A7F">
        <w:rPr>
          <w:rFonts w:eastAsiaTheme="minorHAnsi" w:cstheme="minorBidi"/>
          <w:szCs w:val="24"/>
          <w:lang w:eastAsia="en-US"/>
        </w:rPr>
        <w:t xml:space="preserve">, </w:t>
      </w:r>
      <w:proofErr w:type="spellStart"/>
      <w:r w:rsidRPr="00AA4A7F">
        <w:rPr>
          <w:rFonts w:eastAsiaTheme="minorHAnsi" w:cstheme="minorBidi"/>
          <w:szCs w:val="24"/>
          <w:lang w:eastAsia="en-US"/>
        </w:rPr>
        <w:t>Moldaver</w:t>
      </w:r>
      <w:proofErr w:type="spellEnd"/>
      <w:r w:rsidRPr="00AA4A7F">
        <w:rPr>
          <w:rFonts w:eastAsiaTheme="minorHAnsi" w:cstheme="minorBidi"/>
          <w:szCs w:val="24"/>
          <w:lang w:eastAsia="en-US"/>
        </w:rPr>
        <w:t xml:space="preserve"> et </w:t>
      </w:r>
      <w:proofErr w:type="spellStart"/>
      <w:r w:rsidRPr="00AA4A7F">
        <w:rPr>
          <w:rFonts w:eastAsiaTheme="minorHAnsi" w:cstheme="minorBidi"/>
          <w:szCs w:val="24"/>
          <w:lang w:eastAsia="en-US"/>
        </w:rPr>
        <w:t>Karakatsanis</w:t>
      </w:r>
      <w:proofErr w:type="spellEnd"/>
    </w:p>
    <w:p w:rsidR="00A74F43" w:rsidRPr="00AA4A7F" w:rsidRDefault="00A74F43" w:rsidP="00A74F43">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74F43" w:rsidRPr="00AA4A7F" w:rsidTr="00BD1516">
        <w:trPr>
          <w:cantSplit/>
        </w:trPr>
        <w:tc>
          <w:tcPr>
            <w:tcW w:w="3618" w:type="dxa"/>
          </w:tcPr>
          <w:p w:rsidR="00A74F43" w:rsidRPr="00AA4A7F" w:rsidRDefault="00A74F43" w:rsidP="00BD1516">
            <w:pPr>
              <w:rPr>
                <w:b/>
                <w:smallCaps/>
              </w:rPr>
            </w:pPr>
            <w:r w:rsidRPr="00AA4A7F">
              <w:rPr>
                <w:b/>
                <w:smallCaps/>
              </w:rPr>
              <w:t>Motifs de jugement :</w:t>
            </w:r>
          </w:p>
          <w:p w:rsidR="00A74F43" w:rsidRPr="00AA4A7F" w:rsidRDefault="00A74F43" w:rsidP="00BD1516">
            <w:r w:rsidRPr="00AA4A7F">
              <w:t>(par. 1 à 19)</w:t>
            </w:r>
          </w:p>
        </w:tc>
        <w:tc>
          <w:tcPr>
            <w:tcW w:w="5958" w:type="dxa"/>
          </w:tcPr>
          <w:p w:rsidR="00A74F43" w:rsidRPr="00AA4A7F" w:rsidRDefault="00A74F43" w:rsidP="00BD1516">
            <w:r w:rsidRPr="00AA4A7F">
              <w:t>La Cour</w:t>
            </w:r>
          </w:p>
        </w:tc>
      </w:tr>
    </w:tbl>
    <w:p w:rsidR="00A74F43" w:rsidRPr="00AA4A7F" w:rsidRDefault="00A74F43" w:rsidP="00A74F43">
      <w:pPr>
        <w:rPr>
          <w:rFonts w:eastAsiaTheme="minorHAnsi" w:cstheme="minorBidi"/>
          <w:szCs w:val="24"/>
          <w:lang w:eastAsia="en-US"/>
        </w:rPr>
      </w:pPr>
    </w:p>
    <w:p w:rsidR="00A74F43" w:rsidRPr="00AA4A7F" w:rsidRDefault="00A74F43" w:rsidP="00A74F43">
      <w:pPr>
        <w:rPr>
          <w:rFonts w:eastAsiaTheme="minorHAnsi" w:cstheme="minorBidi"/>
          <w:szCs w:val="24"/>
          <w:lang w:eastAsia="en-US"/>
        </w:rPr>
      </w:pPr>
    </w:p>
    <w:p w:rsidR="00A74F43" w:rsidRPr="00AA4A7F" w:rsidRDefault="00A74F43" w:rsidP="00A74F43">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A74F43" w:rsidRPr="00AA4A7F" w:rsidRDefault="00A74F43" w:rsidP="00A74F43">
      <w:pPr>
        <w:rPr>
          <w:rStyle w:val="SCCAppellantForRunningHeadChar"/>
          <w:szCs w:val="24"/>
        </w:rPr>
      </w:pPr>
      <w:r w:rsidRPr="00AA4A7F">
        <w:rPr>
          <w:rStyle w:val="SCCAppellantForRunningHeadChar"/>
          <w:szCs w:val="24"/>
        </w:rPr>
        <w:br w:type="page"/>
      </w:r>
    </w:p>
    <w:p w:rsidR="00351234" w:rsidRPr="00A74F43" w:rsidRDefault="00351234" w:rsidP="003427BD">
      <w:pPr>
        <w:spacing w:after="720"/>
        <w:jc w:val="both"/>
        <w:rPr>
          <w:b/>
          <w:szCs w:val="24"/>
          <w:lang w:val="en-CA"/>
        </w:rPr>
      </w:pPr>
      <w:r w:rsidRPr="00A74F43">
        <w:rPr>
          <w:rStyle w:val="SCCAppellantForIndexChar"/>
          <w:b w:val="0"/>
          <w:szCs w:val="24"/>
          <w:lang w:val="en-CA"/>
        </w:rPr>
        <w:lastRenderedPageBreak/>
        <w:t>Fundy Settlement</w:t>
      </w:r>
      <w:r w:rsidRPr="00A74F43">
        <w:rPr>
          <w:b/>
          <w:szCs w:val="24"/>
          <w:lang w:val="en-CA"/>
        </w:rPr>
        <w:t xml:space="preserve"> </w:t>
      </w:r>
      <w:r w:rsidRPr="00A74F43">
        <w:rPr>
          <w:i/>
          <w:szCs w:val="24"/>
          <w:lang w:val="en-CA"/>
        </w:rPr>
        <w:t xml:space="preserve">c. </w:t>
      </w:r>
      <w:r w:rsidRPr="00A74F43">
        <w:rPr>
          <w:szCs w:val="24"/>
          <w:lang w:val="en-CA"/>
        </w:rPr>
        <w:t>Canada, 2012 CSC 14, [2012] 1 R.C.S. 520</w:t>
      </w:r>
    </w:p>
    <w:p w:rsidR="00BE0CE3" w:rsidRPr="000A1160" w:rsidRDefault="00BE0CE3" w:rsidP="00BE0CE3">
      <w:pPr>
        <w:pStyle w:val="SCCLsocParty"/>
        <w:tabs>
          <w:tab w:val="right" w:pos="8280"/>
        </w:tabs>
        <w:rPr>
          <w:szCs w:val="24"/>
        </w:rPr>
      </w:pPr>
      <w:r w:rsidRPr="000A1160">
        <w:rPr>
          <w:szCs w:val="24"/>
        </w:rPr>
        <w:t>St</w:t>
      </w:r>
      <w:r w:rsidR="00155B74" w:rsidRPr="000A1160">
        <w:rPr>
          <w:szCs w:val="24"/>
        </w:rPr>
        <w:t>. </w:t>
      </w:r>
      <w:r w:rsidRPr="000A1160">
        <w:rPr>
          <w:szCs w:val="24"/>
        </w:rPr>
        <w:t>Michael Trust Co</w:t>
      </w:r>
      <w:r w:rsidR="006827FF" w:rsidRPr="000A1160">
        <w:rPr>
          <w:szCs w:val="24"/>
        </w:rPr>
        <w:t>rp</w:t>
      </w:r>
      <w:r w:rsidR="00FD7C08" w:rsidRPr="000A1160">
        <w:rPr>
          <w:szCs w:val="24"/>
        </w:rPr>
        <w:t>.</w:t>
      </w:r>
      <w:r w:rsidR="006827FF" w:rsidRPr="000A1160">
        <w:rPr>
          <w:szCs w:val="24"/>
        </w:rPr>
        <w:t>, en sa qualité de</w:t>
      </w:r>
      <w:r w:rsidRPr="000A1160">
        <w:rPr>
          <w:szCs w:val="24"/>
        </w:rPr>
        <w:t xml:space="preserve"> </w:t>
      </w:r>
    </w:p>
    <w:p w:rsidR="003427BD" w:rsidRPr="000A1160" w:rsidRDefault="006827FF" w:rsidP="003427BD">
      <w:pPr>
        <w:pStyle w:val="SCCLsocParty"/>
        <w:tabs>
          <w:tab w:val="right" w:pos="8280"/>
        </w:tabs>
        <w:spacing w:after="720"/>
        <w:rPr>
          <w:b w:val="0"/>
          <w:i/>
          <w:szCs w:val="24"/>
        </w:rPr>
      </w:pPr>
      <w:proofErr w:type="gramStart"/>
      <w:r w:rsidRPr="000A1160">
        <w:rPr>
          <w:szCs w:val="24"/>
        </w:rPr>
        <w:t>fiduciaire</w:t>
      </w:r>
      <w:proofErr w:type="gramEnd"/>
      <w:r w:rsidRPr="000A1160">
        <w:rPr>
          <w:szCs w:val="24"/>
        </w:rPr>
        <w:t xml:space="preserve"> </w:t>
      </w:r>
      <w:r w:rsidR="00BE0CE3" w:rsidRPr="000A1160">
        <w:rPr>
          <w:szCs w:val="24"/>
        </w:rPr>
        <w:t xml:space="preserve">de Fundy </w:t>
      </w:r>
      <w:proofErr w:type="spellStart"/>
      <w:r w:rsidR="00BE0CE3" w:rsidRPr="000A1160">
        <w:rPr>
          <w:szCs w:val="24"/>
        </w:rPr>
        <w:t>Settlement</w:t>
      </w:r>
      <w:proofErr w:type="spellEnd"/>
      <w:r w:rsidR="00BE0CE3" w:rsidRPr="000A1160">
        <w:rPr>
          <w:szCs w:val="24"/>
        </w:rPr>
        <w:tab/>
      </w:r>
      <w:r w:rsidR="00BE0CE3" w:rsidRPr="000A1160">
        <w:rPr>
          <w:b w:val="0"/>
          <w:i/>
          <w:szCs w:val="24"/>
        </w:rPr>
        <w:t>Appelante</w:t>
      </w:r>
    </w:p>
    <w:p w:rsidR="003427BD" w:rsidRPr="000A1160" w:rsidRDefault="00BE0CE3" w:rsidP="003427BD">
      <w:pPr>
        <w:pStyle w:val="SCCLsocVersus"/>
        <w:spacing w:after="720"/>
        <w:rPr>
          <w:szCs w:val="24"/>
        </w:rPr>
      </w:pPr>
      <w:proofErr w:type="gramStart"/>
      <w:r w:rsidRPr="000A1160">
        <w:rPr>
          <w:szCs w:val="24"/>
        </w:rPr>
        <w:t>c</w:t>
      </w:r>
      <w:proofErr w:type="gramEnd"/>
      <w:r w:rsidR="00186B92" w:rsidRPr="000A1160">
        <w:rPr>
          <w:szCs w:val="24"/>
        </w:rPr>
        <w:t xml:space="preserve">. </w:t>
      </w:r>
    </w:p>
    <w:p w:rsidR="005F1AB8" w:rsidRPr="000A1160" w:rsidRDefault="00BE0CE3" w:rsidP="003427BD">
      <w:pPr>
        <w:pStyle w:val="SCCLsocParty"/>
        <w:tabs>
          <w:tab w:val="right" w:pos="8280"/>
        </w:tabs>
        <w:spacing w:after="720"/>
        <w:rPr>
          <w:szCs w:val="24"/>
        </w:rPr>
      </w:pPr>
      <w:r w:rsidRPr="000A1160">
        <w:rPr>
          <w:szCs w:val="24"/>
        </w:rPr>
        <w:t>Sa Majesté la Reine</w:t>
      </w:r>
      <w:r w:rsidRPr="000A1160">
        <w:rPr>
          <w:szCs w:val="24"/>
        </w:rPr>
        <w:tab/>
      </w:r>
      <w:r w:rsidRPr="000A1160">
        <w:rPr>
          <w:b w:val="0"/>
          <w:i/>
          <w:szCs w:val="24"/>
        </w:rPr>
        <w:t>Intimée</w:t>
      </w:r>
    </w:p>
    <w:p w:rsidR="00BE0CE3" w:rsidRPr="000A1160" w:rsidRDefault="000E5663" w:rsidP="003427BD">
      <w:pPr>
        <w:spacing w:after="720"/>
        <w:jc w:val="both"/>
        <w:rPr>
          <w:szCs w:val="24"/>
        </w:rPr>
      </w:pPr>
      <w:r w:rsidRPr="000A1160">
        <w:rPr>
          <w:szCs w:val="24"/>
        </w:rPr>
        <w:t>-</w:t>
      </w:r>
      <w:r w:rsidR="00BE0CE3" w:rsidRPr="000A1160">
        <w:rPr>
          <w:szCs w:val="24"/>
        </w:rPr>
        <w:t xml:space="preserve"> et </w:t>
      </w:r>
      <w:r w:rsidRPr="000A1160">
        <w:rPr>
          <w:szCs w:val="24"/>
        </w:rPr>
        <w:t>-</w:t>
      </w:r>
    </w:p>
    <w:p w:rsidR="006827FF" w:rsidRPr="000A1160" w:rsidRDefault="006827FF" w:rsidP="006827FF">
      <w:pPr>
        <w:pStyle w:val="SCCLsocParty"/>
        <w:rPr>
          <w:szCs w:val="24"/>
        </w:rPr>
      </w:pPr>
      <w:r w:rsidRPr="000A1160">
        <w:rPr>
          <w:szCs w:val="24"/>
        </w:rPr>
        <w:t>St</w:t>
      </w:r>
      <w:r w:rsidR="00155B74" w:rsidRPr="000A1160">
        <w:rPr>
          <w:szCs w:val="24"/>
        </w:rPr>
        <w:t>. </w:t>
      </w:r>
      <w:r w:rsidRPr="000A1160">
        <w:rPr>
          <w:szCs w:val="24"/>
        </w:rPr>
        <w:t>Michael Trust Corp</w:t>
      </w:r>
      <w:r w:rsidR="00D849D9" w:rsidRPr="000A1160">
        <w:rPr>
          <w:szCs w:val="24"/>
        </w:rPr>
        <w:t>.</w:t>
      </w:r>
      <w:r w:rsidRPr="000A1160">
        <w:rPr>
          <w:szCs w:val="24"/>
        </w:rPr>
        <w:t xml:space="preserve">, en sa qualité de </w:t>
      </w:r>
    </w:p>
    <w:p w:rsidR="003427BD" w:rsidRPr="000A1160" w:rsidRDefault="006827FF" w:rsidP="003427BD">
      <w:pPr>
        <w:pStyle w:val="SCCLsocParty"/>
        <w:tabs>
          <w:tab w:val="right" w:pos="8280"/>
        </w:tabs>
        <w:spacing w:after="720"/>
        <w:rPr>
          <w:b w:val="0"/>
          <w:i/>
          <w:szCs w:val="24"/>
        </w:rPr>
      </w:pPr>
      <w:proofErr w:type="gramStart"/>
      <w:r w:rsidRPr="000A1160">
        <w:rPr>
          <w:szCs w:val="24"/>
        </w:rPr>
        <w:t>fiduciaire</w:t>
      </w:r>
      <w:proofErr w:type="gramEnd"/>
      <w:r w:rsidRPr="000A1160">
        <w:rPr>
          <w:szCs w:val="24"/>
        </w:rPr>
        <w:t xml:space="preserve"> de </w:t>
      </w:r>
      <w:proofErr w:type="spellStart"/>
      <w:r w:rsidRPr="000A1160">
        <w:rPr>
          <w:szCs w:val="24"/>
        </w:rPr>
        <w:t>Summersby</w:t>
      </w:r>
      <w:proofErr w:type="spellEnd"/>
      <w:r w:rsidRPr="000A1160">
        <w:rPr>
          <w:szCs w:val="24"/>
        </w:rPr>
        <w:t xml:space="preserve"> </w:t>
      </w:r>
      <w:proofErr w:type="spellStart"/>
      <w:r w:rsidRPr="000A1160">
        <w:rPr>
          <w:szCs w:val="24"/>
        </w:rPr>
        <w:t>Settlement</w:t>
      </w:r>
      <w:proofErr w:type="spellEnd"/>
      <w:r w:rsidRPr="000A1160">
        <w:rPr>
          <w:szCs w:val="24"/>
        </w:rPr>
        <w:tab/>
      </w:r>
      <w:r w:rsidRPr="000A1160">
        <w:rPr>
          <w:b w:val="0"/>
          <w:i/>
          <w:szCs w:val="24"/>
        </w:rPr>
        <w:t>Appelante</w:t>
      </w:r>
    </w:p>
    <w:p w:rsidR="003427BD" w:rsidRPr="000A1160" w:rsidRDefault="006827FF" w:rsidP="003427BD">
      <w:pPr>
        <w:pStyle w:val="SCCLsocVersus"/>
        <w:spacing w:after="720"/>
        <w:rPr>
          <w:szCs w:val="24"/>
        </w:rPr>
      </w:pPr>
      <w:proofErr w:type="gramStart"/>
      <w:r w:rsidRPr="000A1160">
        <w:rPr>
          <w:szCs w:val="24"/>
        </w:rPr>
        <w:t>c</w:t>
      </w:r>
      <w:proofErr w:type="gramEnd"/>
      <w:r w:rsidR="00186B92" w:rsidRPr="000A1160">
        <w:rPr>
          <w:szCs w:val="24"/>
        </w:rPr>
        <w:t xml:space="preserve">. </w:t>
      </w:r>
    </w:p>
    <w:p w:rsidR="006827FF" w:rsidRPr="000A1160" w:rsidRDefault="006827FF" w:rsidP="003427BD">
      <w:pPr>
        <w:pStyle w:val="SCCLsocParty"/>
        <w:tabs>
          <w:tab w:val="right" w:pos="8082"/>
        </w:tabs>
        <w:spacing w:after="720"/>
        <w:rPr>
          <w:szCs w:val="24"/>
        </w:rPr>
      </w:pPr>
      <w:r w:rsidRPr="000A1160">
        <w:rPr>
          <w:szCs w:val="24"/>
        </w:rPr>
        <w:t>Sa Majesté la Reine</w:t>
      </w:r>
      <w:r w:rsidRPr="000A1160">
        <w:rPr>
          <w:szCs w:val="24"/>
        </w:rPr>
        <w:tab/>
      </w:r>
      <w:r w:rsidRPr="000A1160">
        <w:rPr>
          <w:b w:val="0"/>
          <w:i/>
          <w:szCs w:val="24"/>
        </w:rPr>
        <w:t>Intimé</w:t>
      </w:r>
      <w:r w:rsidR="00B165DF" w:rsidRPr="000A1160">
        <w:rPr>
          <w:b w:val="0"/>
          <w:i/>
          <w:szCs w:val="24"/>
        </w:rPr>
        <w:t>e</w:t>
      </w:r>
    </w:p>
    <w:p w:rsidR="00426659" w:rsidRPr="000A1160" w:rsidRDefault="0043088E" w:rsidP="003427BD">
      <w:pPr>
        <w:spacing w:after="720"/>
        <w:jc w:val="both"/>
        <w:rPr>
          <w:b/>
          <w:szCs w:val="24"/>
        </w:rPr>
      </w:pPr>
      <w:r w:rsidRPr="000A1160">
        <w:rPr>
          <w:b/>
          <w:szCs w:val="24"/>
        </w:rPr>
        <w:t>Répertorié</w:t>
      </w:r>
      <w:r w:rsidR="00FE175C" w:rsidRPr="000A1160">
        <w:rPr>
          <w:b/>
          <w:szCs w:val="24"/>
        </w:rPr>
        <w:t> :</w:t>
      </w:r>
      <w:r w:rsidR="00C67CA5" w:rsidRPr="000A1160">
        <w:rPr>
          <w:b/>
          <w:szCs w:val="24"/>
        </w:rPr>
        <w:t> </w:t>
      </w:r>
      <w:r w:rsidR="00B165DF" w:rsidRPr="000A1160">
        <w:rPr>
          <w:rStyle w:val="SCCAppellantForIndexChar"/>
          <w:szCs w:val="24"/>
        </w:rPr>
        <w:t xml:space="preserve">Fundy </w:t>
      </w:r>
      <w:proofErr w:type="spellStart"/>
      <w:r w:rsidR="00B165DF" w:rsidRPr="000A1160">
        <w:rPr>
          <w:rStyle w:val="SCCAppellantForIndexChar"/>
          <w:szCs w:val="24"/>
        </w:rPr>
        <w:t>Settlement</w:t>
      </w:r>
      <w:proofErr w:type="spellEnd"/>
      <w:r w:rsidR="00426659" w:rsidRPr="000A1160">
        <w:rPr>
          <w:b/>
          <w:szCs w:val="24"/>
        </w:rPr>
        <w:t xml:space="preserve"> </w:t>
      </w:r>
      <w:r w:rsidR="00645057" w:rsidRPr="000A1160">
        <w:rPr>
          <w:b/>
          <w:i/>
          <w:szCs w:val="24"/>
        </w:rPr>
        <w:t>c</w:t>
      </w:r>
      <w:r w:rsidR="00186B92" w:rsidRPr="000A1160">
        <w:rPr>
          <w:b/>
          <w:i/>
          <w:szCs w:val="24"/>
        </w:rPr>
        <w:t xml:space="preserve">. </w:t>
      </w:r>
      <w:r w:rsidR="00FF565E" w:rsidRPr="000A1160">
        <w:rPr>
          <w:b/>
          <w:szCs w:val="24"/>
        </w:rPr>
        <w:t>Canada</w:t>
      </w:r>
    </w:p>
    <w:p w:rsidR="00F01462" w:rsidRPr="000A1160" w:rsidRDefault="00C0663B" w:rsidP="00F01462">
      <w:pPr>
        <w:pStyle w:val="SCCSystemYear"/>
        <w:spacing w:after="720"/>
        <w:jc w:val="both"/>
        <w:rPr>
          <w:szCs w:val="24"/>
        </w:rPr>
      </w:pPr>
      <w:r w:rsidRPr="000A1160">
        <w:rPr>
          <w:szCs w:val="24"/>
        </w:rPr>
        <w:t>2012</w:t>
      </w:r>
      <w:r w:rsidR="00EE0FAF" w:rsidRPr="000A1160">
        <w:rPr>
          <w:szCs w:val="24"/>
        </w:rPr>
        <w:t xml:space="preserve"> </w:t>
      </w:r>
      <w:r w:rsidR="00C71F58" w:rsidRPr="000A1160">
        <w:rPr>
          <w:szCs w:val="24"/>
        </w:rPr>
        <w:t>C</w:t>
      </w:r>
      <w:r w:rsidR="00F01462" w:rsidRPr="000A1160">
        <w:rPr>
          <w:szCs w:val="24"/>
        </w:rPr>
        <w:t>SC 14</w:t>
      </w:r>
    </w:p>
    <w:p w:rsidR="008322BD" w:rsidRPr="000A1160" w:rsidRDefault="009B57B3" w:rsidP="00F01462">
      <w:pPr>
        <w:pStyle w:val="SCCSystemYear"/>
        <w:spacing w:after="720"/>
        <w:jc w:val="both"/>
        <w:rPr>
          <w:b w:val="0"/>
          <w:szCs w:val="24"/>
        </w:rPr>
      </w:pPr>
      <w:r w:rsidRPr="000A1160">
        <w:rPr>
          <w:b w:val="0"/>
          <w:szCs w:val="24"/>
        </w:rPr>
        <w:t>N</w:t>
      </w:r>
      <w:r w:rsidRPr="000A1160">
        <w:rPr>
          <w:b w:val="0"/>
          <w:szCs w:val="24"/>
          <w:vertAlign w:val="superscript"/>
        </w:rPr>
        <w:t>o</w:t>
      </w:r>
      <w:r w:rsidR="00B165DF" w:rsidRPr="000A1160">
        <w:rPr>
          <w:b w:val="0"/>
          <w:szCs w:val="24"/>
          <w:vertAlign w:val="superscript"/>
        </w:rPr>
        <w:t>s</w:t>
      </w:r>
      <w:r w:rsidR="0043088E" w:rsidRPr="000A1160">
        <w:rPr>
          <w:b w:val="0"/>
          <w:szCs w:val="24"/>
        </w:rPr>
        <w:t xml:space="preserve"> du greffe</w:t>
      </w:r>
      <w:r w:rsidR="00FE175C" w:rsidRPr="000A1160">
        <w:rPr>
          <w:b w:val="0"/>
          <w:szCs w:val="24"/>
        </w:rPr>
        <w:t> :</w:t>
      </w:r>
      <w:r w:rsidR="00C67CA5" w:rsidRPr="000A1160">
        <w:rPr>
          <w:b w:val="0"/>
          <w:szCs w:val="24"/>
        </w:rPr>
        <w:t> </w:t>
      </w:r>
      <w:r w:rsidRPr="000A1160">
        <w:rPr>
          <w:b w:val="0"/>
          <w:szCs w:val="24"/>
        </w:rPr>
        <w:t>34056</w:t>
      </w:r>
      <w:r w:rsidR="00B165DF" w:rsidRPr="000A1160">
        <w:rPr>
          <w:b w:val="0"/>
          <w:szCs w:val="24"/>
        </w:rPr>
        <w:t>, 34057</w:t>
      </w:r>
      <w:r w:rsidR="00186B92" w:rsidRPr="000A1160">
        <w:rPr>
          <w:b w:val="0"/>
          <w:szCs w:val="24"/>
        </w:rPr>
        <w:t xml:space="preserve">. </w:t>
      </w:r>
    </w:p>
    <w:p w:rsidR="008322BD" w:rsidRPr="000A1160" w:rsidRDefault="00C0663B" w:rsidP="003427BD">
      <w:pPr>
        <w:spacing w:after="720"/>
        <w:jc w:val="both"/>
        <w:rPr>
          <w:szCs w:val="24"/>
        </w:rPr>
      </w:pPr>
      <w:r w:rsidRPr="000A1160">
        <w:rPr>
          <w:szCs w:val="24"/>
        </w:rPr>
        <w:t>2012</w:t>
      </w:r>
      <w:r w:rsidR="00FE175C" w:rsidRPr="000A1160">
        <w:rPr>
          <w:szCs w:val="24"/>
        </w:rPr>
        <w:t> :</w:t>
      </w:r>
      <w:r w:rsidR="006653E2" w:rsidRPr="000A1160">
        <w:rPr>
          <w:szCs w:val="24"/>
        </w:rPr>
        <w:t> 13 </w:t>
      </w:r>
      <w:r w:rsidRPr="000A1160">
        <w:rPr>
          <w:szCs w:val="24"/>
        </w:rPr>
        <w:t>mars</w:t>
      </w:r>
      <w:r w:rsidR="009B57B3" w:rsidRPr="000A1160">
        <w:rPr>
          <w:szCs w:val="24"/>
        </w:rPr>
        <w:t xml:space="preserve">; </w:t>
      </w:r>
      <w:r w:rsidR="006653E2" w:rsidRPr="000A1160">
        <w:rPr>
          <w:szCs w:val="24"/>
        </w:rPr>
        <w:t>2012</w:t>
      </w:r>
      <w:r w:rsidR="00FE175C" w:rsidRPr="000A1160">
        <w:rPr>
          <w:szCs w:val="24"/>
        </w:rPr>
        <w:t> :</w:t>
      </w:r>
      <w:r w:rsidR="006653E2" w:rsidRPr="000A1160">
        <w:rPr>
          <w:szCs w:val="24"/>
        </w:rPr>
        <w:t> 12 </w:t>
      </w:r>
      <w:r w:rsidR="00774EB1" w:rsidRPr="000A1160">
        <w:rPr>
          <w:szCs w:val="24"/>
        </w:rPr>
        <w:t>avril</w:t>
      </w:r>
      <w:r w:rsidR="00186B92" w:rsidRPr="000A1160">
        <w:rPr>
          <w:szCs w:val="24"/>
        </w:rPr>
        <w:t xml:space="preserve">. </w:t>
      </w:r>
    </w:p>
    <w:p w:rsidR="008322BD" w:rsidRPr="000A1160" w:rsidRDefault="009B57B3" w:rsidP="003427BD">
      <w:pPr>
        <w:spacing w:after="720"/>
        <w:jc w:val="both"/>
        <w:rPr>
          <w:szCs w:val="24"/>
        </w:rPr>
      </w:pPr>
      <w:r w:rsidRPr="000A1160">
        <w:rPr>
          <w:szCs w:val="24"/>
        </w:rPr>
        <w:lastRenderedPageBreak/>
        <w:t>Pr</w:t>
      </w:r>
      <w:r w:rsidR="0043088E" w:rsidRPr="000A1160">
        <w:rPr>
          <w:szCs w:val="24"/>
        </w:rPr>
        <w:t>é</w:t>
      </w:r>
      <w:r w:rsidRPr="000A1160">
        <w:rPr>
          <w:szCs w:val="24"/>
        </w:rPr>
        <w:t>sent</w:t>
      </w:r>
      <w:r w:rsidR="008A6558" w:rsidRPr="000A1160">
        <w:rPr>
          <w:szCs w:val="24"/>
        </w:rPr>
        <w:t>s</w:t>
      </w:r>
      <w:r w:rsidR="00FE175C" w:rsidRPr="000A1160">
        <w:rPr>
          <w:szCs w:val="24"/>
        </w:rPr>
        <w:t> :</w:t>
      </w:r>
      <w:r w:rsidR="00C67CA5" w:rsidRPr="000A1160">
        <w:rPr>
          <w:szCs w:val="24"/>
        </w:rPr>
        <w:t> </w:t>
      </w:r>
      <w:r w:rsidRPr="000A1160">
        <w:rPr>
          <w:szCs w:val="24"/>
        </w:rPr>
        <w:t xml:space="preserve">Les juges LeBel, Deschamps, Fish, Abella, </w:t>
      </w:r>
      <w:proofErr w:type="spellStart"/>
      <w:r w:rsidRPr="000A1160">
        <w:rPr>
          <w:szCs w:val="24"/>
        </w:rPr>
        <w:t>Rothstein</w:t>
      </w:r>
      <w:proofErr w:type="spellEnd"/>
      <w:r w:rsidRPr="000A1160">
        <w:rPr>
          <w:szCs w:val="24"/>
        </w:rPr>
        <w:t xml:space="preserve">, </w:t>
      </w:r>
      <w:proofErr w:type="spellStart"/>
      <w:r w:rsidRPr="000A1160">
        <w:rPr>
          <w:szCs w:val="24"/>
        </w:rPr>
        <w:t>Moldaver</w:t>
      </w:r>
      <w:proofErr w:type="spellEnd"/>
      <w:r w:rsidRPr="000A1160">
        <w:rPr>
          <w:szCs w:val="24"/>
        </w:rPr>
        <w:t xml:space="preserve"> et </w:t>
      </w:r>
      <w:proofErr w:type="spellStart"/>
      <w:r w:rsidRPr="000A1160">
        <w:rPr>
          <w:szCs w:val="24"/>
        </w:rPr>
        <w:t>Karakatsanis</w:t>
      </w:r>
      <w:proofErr w:type="spellEnd"/>
      <w:r w:rsidR="00186B92" w:rsidRPr="000A1160">
        <w:rPr>
          <w:szCs w:val="24"/>
        </w:rPr>
        <w:t xml:space="preserve">. </w:t>
      </w:r>
    </w:p>
    <w:p w:rsidR="008322BD" w:rsidRPr="000A1160" w:rsidRDefault="00AC7437" w:rsidP="003427BD">
      <w:pPr>
        <w:pStyle w:val="SCCLowerCourtNameLowercase"/>
        <w:spacing w:after="720" w:line="240" w:lineRule="auto"/>
        <w:rPr>
          <w:szCs w:val="24"/>
        </w:rPr>
      </w:pPr>
      <w:r w:rsidRPr="000A1160">
        <w:rPr>
          <w:szCs w:val="24"/>
        </w:rPr>
        <w:t>e</w:t>
      </w:r>
      <w:r w:rsidR="00855307" w:rsidRPr="000A1160">
        <w:rPr>
          <w:szCs w:val="24"/>
        </w:rPr>
        <w:t>n</w:t>
      </w:r>
      <w:r w:rsidR="00224FC0" w:rsidRPr="000A1160">
        <w:rPr>
          <w:szCs w:val="24"/>
        </w:rPr>
        <w:t xml:space="preserve"> </w:t>
      </w:r>
      <w:r w:rsidR="00855307" w:rsidRPr="000A1160">
        <w:rPr>
          <w:szCs w:val="24"/>
        </w:rPr>
        <w:t>appel</w:t>
      </w:r>
      <w:r w:rsidR="00224FC0" w:rsidRPr="000A1160">
        <w:rPr>
          <w:szCs w:val="24"/>
        </w:rPr>
        <w:t xml:space="preserve"> </w:t>
      </w:r>
      <w:r w:rsidR="00855307" w:rsidRPr="000A1160">
        <w:rPr>
          <w:szCs w:val="24"/>
        </w:rPr>
        <w:t>de</w:t>
      </w:r>
      <w:r w:rsidR="0043088E" w:rsidRPr="000A1160">
        <w:rPr>
          <w:szCs w:val="24"/>
        </w:rPr>
        <w:t xml:space="preserve"> </w:t>
      </w:r>
      <w:r w:rsidR="00855307" w:rsidRPr="000A1160">
        <w:rPr>
          <w:szCs w:val="24"/>
        </w:rPr>
        <w:t>la</w:t>
      </w:r>
      <w:r w:rsidR="00224FC0" w:rsidRPr="000A1160">
        <w:rPr>
          <w:szCs w:val="24"/>
        </w:rPr>
        <w:t xml:space="preserve"> </w:t>
      </w:r>
      <w:r w:rsidR="009B57B3" w:rsidRPr="000A1160">
        <w:rPr>
          <w:szCs w:val="24"/>
        </w:rPr>
        <w:t>cour d</w:t>
      </w:r>
      <w:r w:rsidR="00651C6C" w:rsidRPr="000A1160">
        <w:rPr>
          <w:szCs w:val="24"/>
        </w:rPr>
        <w:t>’</w:t>
      </w:r>
      <w:r w:rsidR="009B57B3" w:rsidRPr="000A1160">
        <w:rPr>
          <w:szCs w:val="24"/>
        </w:rPr>
        <w:t>appel fédérale</w:t>
      </w:r>
    </w:p>
    <w:p w:rsidR="00F1700D" w:rsidRPr="000A1160" w:rsidRDefault="00F1700D" w:rsidP="00F1700D">
      <w:pPr>
        <w:pStyle w:val="SCCNormalDoubleSpacing"/>
        <w:spacing w:after="480"/>
        <w:rPr>
          <w:i/>
          <w:szCs w:val="24"/>
        </w:rPr>
      </w:pPr>
      <w:r w:rsidRPr="000A1160">
        <w:rPr>
          <w:szCs w:val="24"/>
        </w:rPr>
        <w:tab/>
      </w:r>
      <w:r w:rsidR="00804D30" w:rsidRPr="000A1160">
        <w:rPr>
          <w:i/>
          <w:szCs w:val="24"/>
        </w:rPr>
        <w:t>Droit fiscal</w:t>
      </w:r>
      <w:r w:rsidRPr="000A1160">
        <w:rPr>
          <w:i/>
          <w:szCs w:val="24"/>
        </w:rPr>
        <w:t xml:space="preserve"> </w:t>
      </w:r>
      <w:r w:rsidR="00946602" w:rsidRPr="000A1160">
        <w:rPr>
          <w:i/>
          <w:szCs w:val="24"/>
        </w:rPr>
        <w:t>—</w:t>
      </w:r>
      <w:r w:rsidRPr="000A1160">
        <w:rPr>
          <w:i/>
          <w:szCs w:val="24"/>
        </w:rPr>
        <w:t xml:space="preserve"> I</w:t>
      </w:r>
      <w:r w:rsidR="00804D30" w:rsidRPr="000A1160">
        <w:rPr>
          <w:i/>
          <w:szCs w:val="24"/>
        </w:rPr>
        <w:t>mpôt sur le revenu</w:t>
      </w:r>
      <w:r w:rsidRPr="000A1160">
        <w:rPr>
          <w:i/>
          <w:szCs w:val="24"/>
        </w:rPr>
        <w:t xml:space="preserve"> </w:t>
      </w:r>
      <w:r w:rsidR="00946602" w:rsidRPr="000A1160">
        <w:rPr>
          <w:i/>
          <w:szCs w:val="24"/>
        </w:rPr>
        <w:t xml:space="preserve">— </w:t>
      </w:r>
      <w:r w:rsidR="00804D30" w:rsidRPr="000A1160">
        <w:rPr>
          <w:i/>
          <w:szCs w:val="24"/>
        </w:rPr>
        <w:t>Fiducies</w:t>
      </w:r>
      <w:r w:rsidRPr="000A1160">
        <w:rPr>
          <w:i/>
          <w:szCs w:val="24"/>
        </w:rPr>
        <w:t xml:space="preserve"> </w:t>
      </w:r>
      <w:r w:rsidR="00946602" w:rsidRPr="000A1160">
        <w:rPr>
          <w:i/>
          <w:szCs w:val="24"/>
        </w:rPr>
        <w:t xml:space="preserve">— </w:t>
      </w:r>
      <w:r w:rsidRPr="000A1160">
        <w:rPr>
          <w:i/>
          <w:szCs w:val="24"/>
        </w:rPr>
        <w:t>R</w:t>
      </w:r>
      <w:r w:rsidR="00804D30" w:rsidRPr="000A1160">
        <w:rPr>
          <w:i/>
          <w:szCs w:val="24"/>
        </w:rPr>
        <w:t>é</w:t>
      </w:r>
      <w:r w:rsidRPr="000A1160">
        <w:rPr>
          <w:i/>
          <w:szCs w:val="24"/>
        </w:rPr>
        <w:t xml:space="preserve">sidence </w:t>
      </w:r>
      <w:r w:rsidR="00946602" w:rsidRPr="000A1160">
        <w:rPr>
          <w:i/>
          <w:szCs w:val="24"/>
        </w:rPr>
        <w:t xml:space="preserve">— </w:t>
      </w:r>
      <w:r w:rsidR="00804D30" w:rsidRPr="000A1160">
        <w:rPr>
          <w:i/>
          <w:szCs w:val="24"/>
        </w:rPr>
        <w:t xml:space="preserve">Fiducies détenues par une société résidente de la </w:t>
      </w:r>
      <w:r w:rsidRPr="000A1160">
        <w:rPr>
          <w:i/>
          <w:szCs w:val="24"/>
        </w:rPr>
        <w:t>Barbad</w:t>
      </w:r>
      <w:r w:rsidR="00804D30" w:rsidRPr="000A1160">
        <w:rPr>
          <w:i/>
          <w:szCs w:val="24"/>
        </w:rPr>
        <w:t>e</w:t>
      </w:r>
      <w:r w:rsidRPr="000A1160">
        <w:rPr>
          <w:i/>
          <w:szCs w:val="24"/>
        </w:rPr>
        <w:t xml:space="preserve"> </w:t>
      </w:r>
      <w:r w:rsidR="00946602" w:rsidRPr="000A1160">
        <w:rPr>
          <w:i/>
          <w:szCs w:val="24"/>
        </w:rPr>
        <w:t xml:space="preserve">— </w:t>
      </w:r>
      <w:r w:rsidRPr="000A1160">
        <w:rPr>
          <w:i/>
          <w:szCs w:val="24"/>
        </w:rPr>
        <w:t>B</w:t>
      </w:r>
      <w:r w:rsidR="00562F3E" w:rsidRPr="000A1160">
        <w:rPr>
          <w:i/>
          <w:szCs w:val="24"/>
        </w:rPr>
        <w:t xml:space="preserve">énéficiaires des fiducies résidents du </w:t>
      </w:r>
      <w:r w:rsidRPr="000A1160">
        <w:rPr>
          <w:i/>
          <w:szCs w:val="24"/>
        </w:rPr>
        <w:t xml:space="preserve">Canada </w:t>
      </w:r>
      <w:r w:rsidR="00946602" w:rsidRPr="000A1160">
        <w:rPr>
          <w:i/>
          <w:szCs w:val="24"/>
        </w:rPr>
        <w:t xml:space="preserve">— </w:t>
      </w:r>
      <w:r w:rsidR="00562F3E" w:rsidRPr="000A1160">
        <w:rPr>
          <w:i/>
          <w:szCs w:val="24"/>
        </w:rPr>
        <w:t xml:space="preserve">Gestion centrale et contrôle des fiducies exercés au Canada par les </w:t>
      </w:r>
      <w:r w:rsidR="008B1E19" w:rsidRPr="000A1160">
        <w:rPr>
          <w:i/>
          <w:szCs w:val="24"/>
        </w:rPr>
        <w:t>bénéficiaires pr</w:t>
      </w:r>
      <w:r w:rsidR="00562F3E" w:rsidRPr="000A1160">
        <w:rPr>
          <w:i/>
          <w:szCs w:val="24"/>
        </w:rPr>
        <w:t>incipaux des fiducies</w:t>
      </w:r>
      <w:r w:rsidRPr="000A1160">
        <w:rPr>
          <w:i/>
          <w:szCs w:val="24"/>
        </w:rPr>
        <w:t xml:space="preserve"> </w:t>
      </w:r>
      <w:r w:rsidR="00946602" w:rsidRPr="000A1160">
        <w:rPr>
          <w:i/>
          <w:szCs w:val="24"/>
        </w:rPr>
        <w:t xml:space="preserve">— </w:t>
      </w:r>
      <w:r w:rsidR="00B40067" w:rsidRPr="000A1160">
        <w:rPr>
          <w:i/>
          <w:szCs w:val="24"/>
        </w:rPr>
        <w:t xml:space="preserve">Demande présentée par la </w:t>
      </w:r>
      <w:r w:rsidR="003A2788" w:rsidRPr="000A1160">
        <w:rPr>
          <w:i/>
          <w:szCs w:val="24"/>
        </w:rPr>
        <w:t>f</w:t>
      </w:r>
      <w:r w:rsidR="00B40067" w:rsidRPr="000A1160">
        <w:rPr>
          <w:i/>
          <w:szCs w:val="24"/>
        </w:rPr>
        <w:t>iduciaire en vue d</w:t>
      </w:r>
      <w:r w:rsidR="00651C6C" w:rsidRPr="000A1160">
        <w:rPr>
          <w:i/>
          <w:szCs w:val="24"/>
        </w:rPr>
        <w:t>’</w:t>
      </w:r>
      <w:r w:rsidR="00B40067" w:rsidRPr="000A1160">
        <w:rPr>
          <w:i/>
          <w:szCs w:val="24"/>
        </w:rPr>
        <w:t xml:space="preserve">obtenir le remboursement des sommes </w:t>
      </w:r>
      <w:r w:rsidR="00A65F72" w:rsidRPr="000A1160">
        <w:rPr>
          <w:i/>
          <w:szCs w:val="24"/>
        </w:rPr>
        <w:t>versées</w:t>
      </w:r>
      <w:r w:rsidR="00B40067" w:rsidRPr="000A1160">
        <w:rPr>
          <w:i/>
          <w:szCs w:val="24"/>
        </w:rPr>
        <w:t xml:space="preserve"> au titre de </w:t>
      </w:r>
      <w:r w:rsidR="00D1178B" w:rsidRPr="000A1160">
        <w:rPr>
          <w:i/>
          <w:szCs w:val="24"/>
          <w:lang w:val="fr-FR"/>
        </w:rPr>
        <w:t>l</w:t>
      </w:r>
      <w:r w:rsidR="00651C6C" w:rsidRPr="000A1160">
        <w:rPr>
          <w:i/>
          <w:szCs w:val="24"/>
          <w:lang w:val="fr-FR"/>
        </w:rPr>
        <w:t>’</w:t>
      </w:r>
      <w:r w:rsidR="00D1178B" w:rsidRPr="000A1160">
        <w:rPr>
          <w:i/>
          <w:szCs w:val="24"/>
          <w:lang w:val="fr-FR"/>
        </w:rPr>
        <w:t>impôt canadien retenu sur les gains en capital réalisés par les fiducies à l</w:t>
      </w:r>
      <w:r w:rsidR="00651C6C" w:rsidRPr="000A1160">
        <w:rPr>
          <w:i/>
          <w:szCs w:val="24"/>
          <w:lang w:val="fr-FR"/>
        </w:rPr>
        <w:t>’</w:t>
      </w:r>
      <w:r w:rsidR="00D1178B" w:rsidRPr="000A1160">
        <w:rPr>
          <w:i/>
          <w:szCs w:val="24"/>
          <w:lang w:val="fr-FR"/>
        </w:rPr>
        <w:t>occasion de la vente d</w:t>
      </w:r>
      <w:r w:rsidR="00651C6C" w:rsidRPr="000A1160">
        <w:rPr>
          <w:i/>
          <w:szCs w:val="24"/>
          <w:lang w:val="fr-FR"/>
        </w:rPr>
        <w:t>’</w:t>
      </w:r>
      <w:r w:rsidR="00D1178B" w:rsidRPr="000A1160">
        <w:rPr>
          <w:i/>
          <w:szCs w:val="24"/>
          <w:lang w:val="fr-FR"/>
        </w:rPr>
        <w:t>actions au Canada</w:t>
      </w:r>
      <w:r w:rsidR="00D1178B" w:rsidRPr="000A1160">
        <w:rPr>
          <w:i/>
          <w:szCs w:val="24"/>
        </w:rPr>
        <w:t xml:space="preserve"> </w:t>
      </w:r>
      <w:r w:rsidR="00946602" w:rsidRPr="000A1160">
        <w:rPr>
          <w:i/>
          <w:szCs w:val="24"/>
        </w:rPr>
        <w:t xml:space="preserve">— </w:t>
      </w:r>
      <w:r w:rsidR="008B1E19" w:rsidRPr="000A1160">
        <w:rPr>
          <w:i/>
          <w:szCs w:val="24"/>
        </w:rPr>
        <w:t>C</w:t>
      </w:r>
      <w:r w:rsidR="00D1178B" w:rsidRPr="000A1160">
        <w:rPr>
          <w:i/>
          <w:szCs w:val="24"/>
        </w:rPr>
        <w:t xml:space="preserve">es fiducies </w:t>
      </w:r>
      <w:proofErr w:type="spellStart"/>
      <w:r w:rsidR="00D1178B" w:rsidRPr="000A1160">
        <w:rPr>
          <w:i/>
          <w:szCs w:val="24"/>
        </w:rPr>
        <w:t>sont</w:t>
      </w:r>
      <w:r w:rsidR="00FE175C" w:rsidRPr="000A1160">
        <w:rPr>
          <w:i/>
          <w:szCs w:val="24"/>
        </w:rPr>
        <w:noBreakHyphen/>
      </w:r>
      <w:r w:rsidR="00D1178B" w:rsidRPr="000A1160">
        <w:rPr>
          <w:i/>
          <w:szCs w:val="24"/>
        </w:rPr>
        <w:t>elles</w:t>
      </w:r>
      <w:proofErr w:type="spellEnd"/>
      <w:r w:rsidR="00D1178B" w:rsidRPr="000A1160">
        <w:rPr>
          <w:i/>
          <w:szCs w:val="24"/>
        </w:rPr>
        <w:t xml:space="preserve"> des résidents du Canada pour l</w:t>
      </w:r>
      <w:r w:rsidR="00C55608" w:rsidRPr="000A1160">
        <w:rPr>
          <w:i/>
          <w:szCs w:val="24"/>
        </w:rPr>
        <w:t>es besoins de l</w:t>
      </w:r>
      <w:r w:rsidR="00651C6C" w:rsidRPr="000A1160">
        <w:rPr>
          <w:i/>
          <w:szCs w:val="24"/>
        </w:rPr>
        <w:t>’</w:t>
      </w:r>
      <w:r w:rsidR="00C55608" w:rsidRPr="000A1160">
        <w:rPr>
          <w:i/>
          <w:szCs w:val="24"/>
        </w:rPr>
        <w:t>impôt sur le revenu?</w:t>
      </w:r>
      <w:r w:rsidRPr="000A1160">
        <w:rPr>
          <w:i/>
          <w:szCs w:val="24"/>
        </w:rPr>
        <w:t xml:space="preserve"> </w:t>
      </w:r>
    </w:p>
    <w:p w:rsidR="00F1700D" w:rsidRPr="000A1160" w:rsidRDefault="00F1700D" w:rsidP="00F1700D">
      <w:pPr>
        <w:pStyle w:val="SCCNormalDoubleSpacing"/>
        <w:spacing w:after="480"/>
        <w:rPr>
          <w:szCs w:val="24"/>
        </w:rPr>
      </w:pPr>
      <w:r w:rsidRPr="000A1160">
        <w:rPr>
          <w:szCs w:val="24"/>
        </w:rPr>
        <w:tab/>
      </w:r>
      <w:r w:rsidR="001D181A" w:rsidRPr="000A1160">
        <w:rPr>
          <w:i/>
          <w:szCs w:val="24"/>
        </w:rPr>
        <w:t>Arrêt</w:t>
      </w:r>
      <w:r w:rsidR="00FE175C" w:rsidRPr="000A1160">
        <w:rPr>
          <w:szCs w:val="24"/>
        </w:rPr>
        <w:t> :</w:t>
      </w:r>
      <w:r w:rsidRPr="000A1160">
        <w:rPr>
          <w:szCs w:val="24"/>
        </w:rPr>
        <w:t xml:space="preserve"> </w:t>
      </w:r>
      <w:r w:rsidR="001D181A" w:rsidRPr="000A1160">
        <w:rPr>
          <w:szCs w:val="24"/>
        </w:rPr>
        <w:t>Le</w:t>
      </w:r>
      <w:r w:rsidR="00004A29" w:rsidRPr="000A1160">
        <w:rPr>
          <w:szCs w:val="24"/>
        </w:rPr>
        <w:t>s</w:t>
      </w:r>
      <w:r w:rsidR="001D181A" w:rsidRPr="000A1160">
        <w:rPr>
          <w:szCs w:val="24"/>
        </w:rPr>
        <w:t xml:space="preserve"> pourvoi</w:t>
      </w:r>
      <w:r w:rsidR="00004A29" w:rsidRPr="000A1160">
        <w:rPr>
          <w:szCs w:val="24"/>
        </w:rPr>
        <w:t>s</w:t>
      </w:r>
      <w:r w:rsidR="001D181A" w:rsidRPr="000A1160">
        <w:rPr>
          <w:szCs w:val="24"/>
        </w:rPr>
        <w:t xml:space="preserve"> </w:t>
      </w:r>
      <w:r w:rsidR="00004A29" w:rsidRPr="000A1160">
        <w:rPr>
          <w:szCs w:val="24"/>
        </w:rPr>
        <w:t>sont</w:t>
      </w:r>
      <w:r w:rsidR="001D181A" w:rsidRPr="000A1160">
        <w:rPr>
          <w:szCs w:val="24"/>
        </w:rPr>
        <w:t xml:space="preserve"> rejeté</w:t>
      </w:r>
      <w:r w:rsidR="00004A29" w:rsidRPr="000A1160">
        <w:rPr>
          <w:szCs w:val="24"/>
        </w:rPr>
        <w:t>s</w:t>
      </w:r>
      <w:r w:rsidR="00186B92" w:rsidRPr="000A1160">
        <w:rPr>
          <w:szCs w:val="24"/>
        </w:rPr>
        <w:t xml:space="preserve">. </w:t>
      </w:r>
    </w:p>
    <w:p w:rsidR="006C5661" w:rsidRPr="000A1160" w:rsidRDefault="00F1700D" w:rsidP="00F1700D">
      <w:pPr>
        <w:pStyle w:val="SCCNormalDoubleSpacing"/>
        <w:spacing w:after="480"/>
        <w:rPr>
          <w:szCs w:val="24"/>
        </w:rPr>
      </w:pPr>
      <w:r w:rsidRPr="000A1160">
        <w:rPr>
          <w:szCs w:val="24"/>
        </w:rPr>
        <w:tab/>
      </w:r>
      <w:r w:rsidR="00A37FF6" w:rsidRPr="000A1160">
        <w:rPr>
          <w:szCs w:val="24"/>
          <w:lang w:val="fr-FR"/>
        </w:rPr>
        <w:t>Le lieu de résidence constitue le fondement principal de l</w:t>
      </w:r>
      <w:r w:rsidR="00651C6C" w:rsidRPr="000A1160">
        <w:rPr>
          <w:szCs w:val="24"/>
          <w:lang w:val="fr-FR"/>
        </w:rPr>
        <w:t>’</w:t>
      </w:r>
      <w:r w:rsidR="00A37FF6" w:rsidRPr="000A1160">
        <w:rPr>
          <w:szCs w:val="24"/>
          <w:lang w:val="fr-FR"/>
        </w:rPr>
        <w:t>imposition du revenu au Canada</w:t>
      </w:r>
      <w:r w:rsidR="00186B92" w:rsidRPr="000A1160">
        <w:rPr>
          <w:szCs w:val="24"/>
        </w:rPr>
        <w:t xml:space="preserve">. </w:t>
      </w:r>
      <w:r w:rsidR="00946602" w:rsidRPr="000A1160">
        <w:rPr>
          <w:szCs w:val="24"/>
        </w:rPr>
        <w:t xml:space="preserve"> </w:t>
      </w:r>
      <w:r w:rsidR="00A37FF6" w:rsidRPr="000A1160">
        <w:rPr>
          <w:szCs w:val="24"/>
          <w:lang w:val="fr-FR"/>
        </w:rPr>
        <w:t>Tout comme dans le cas des sociétés, il faut déterminer le lieu de résidence d</w:t>
      </w:r>
      <w:r w:rsidR="00651C6C" w:rsidRPr="000A1160">
        <w:rPr>
          <w:szCs w:val="24"/>
          <w:lang w:val="fr-FR"/>
        </w:rPr>
        <w:t>’</w:t>
      </w:r>
      <w:r w:rsidR="00A37FF6" w:rsidRPr="000A1160">
        <w:rPr>
          <w:szCs w:val="24"/>
          <w:lang w:val="fr-FR"/>
        </w:rPr>
        <w:t>une fiducie sur la base du principe selon lequel, pour l</w:t>
      </w:r>
      <w:r w:rsidR="00651C6C" w:rsidRPr="000A1160">
        <w:rPr>
          <w:szCs w:val="24"/>
          <w:lang w:val="fr-FR"/>
        </w:rPr>
        <w:t>’</w:t>
      </w:r>
      <w:r w:rsidR="00A37FF6" w:rsidRPr="000A1160">
        <w:rPr>
          <w:szCs w:val="24"/>
          <w:lang w:val="fr-FR"/>
        </w:rPr>
        <w:t xml:space="preserve">application de la </w:t>
      </w:r>
      <w:r w:rsidR="00A37FF6" w:rsidRPr="000A1160">
        <w:rPr>
          <w:i/>
          <w:szCs w:val="24"/>
          <w:lang w:val="fr-FR"/>
        </w:rPr>
        <w:t>Loi de l</w:t>
      </w:r>
      <w:r w:rsidR="00651C6C" w:rsidRPr="000A1160">
        <w:rPr>
          <w:i/>
          <w:szCs w:val="24"/>
          <w:lang w:val="fr-FR"/>
        </w:rPr>
        <w:t>’</w:t>
      </w:r>
      <w:r w:rsidR="00A37FF6" w:rsidRPr="000A1160">
        <w:rPr>
          <w:i/>
          <w:szCs w:val="24"/>
          <w:lang w:val="fr-FR"/>
        </w:rPr>
        <w:t>impôt sur le revenu</w:t>
      </w:r>
      <w:r w:rsidR="00A37FF6" w:rsidRPr="000A1160">
        <w:rPr>
          <w:szCs w:val="24"/>
          <w:lang w:val="fr-FR"/>
        </w:rPr>
        <w:t>, une fiducie réside là où sont exercées ses activités véritables, c</w:t>
      </w:r>
      <w:r w:rsidR="00651C6C" w:rsidRPr="000A1160">
        <w:rPr>
          <w:szCs w:val="24"/>
          <w:lang w:val="fr-FR"/>
        </w:rPr>
        <w:t>’</w:t>
      </w:r>
      <w:r w:rsidR="00A37FF6" w:rsidRPr="000A1160">
        <w:rPr>
          <w:szCs w:val="24"/>
          <w:lang w:val="fr-FR"/>
        </w:rPr>
        <w:t>est</w:t>
      </w:r>
      <w:r w:rsidR="00FE175C" w:rsidRPr="000A1160">
        <w:rPr>
          <w:szCs w:val="24"/>
          <w:lang w:val="fr-FR"/>
        </w:rPr>
        <w:noBreakHyphen/>
      </w:r>
      <w:proofErr w:type="spellStart"/>
      <w:r w:rsidR="00A37FF6" w:rsidRPr="000A1160">
        <w:rPr>
          <w:szCs w:val="24"/>
          <w:lang w:val="fr-FR"/>
        </w:rPr>
        <w:t>à</w:t>
      </w:r>
      <w:r w:rsidR="00FE175C" w:rsidRPr="000A1160">
        <w:rPr>
          <w:szCs w:val="24"/>
          <w:lang w:val="fr-FR"/>
        </w:rPr>
        <w:noBreakHyphen/>
      </w:r>
      <w:r w:rsidR="00A37FF6" w:rsidRPr="000A1160">
        <w:rPr>
          <w:szCs w:val="24"/>
          <w:lang w:val="fr-FR"/>
        </w:rPr>
        <w:t>dire</w:t>
      </w:r>
      <w:proofErr w:type="spellEnd"/>
      <w:r w:rsidR="00A37FF6" w:rsidRPr="000A1160">
        <w:rPr>
          <w:szCs w:val="24"/>
          <w:lang w:val="fr-FR"/>
        </w:rPr>
        <w:t xml:space="preserve"> l</w:t>
      </w:r>
      <w:r w:rsidR="00651C6C" w:rsidRPr="000A1160">
        <w:rPr>
          <w:szCs w:val="24"/>
          <w:lang w:val="fr-FR"/>
        </w:rPr>
        <w:t>’</w:t>
      </w:r>
      <w:r w:rsidR="00A37FF6" w:rsidRPr="000A1160">
        <w:rPr>
          <w:szCs w:val="24"/>
          <w:lang w:val="fr-FR"/>
        </w:rPr>
        <w:t>endroit où s</w:t>
      </w:r>
      <w:r w:rsidR="00651C6C" w:rsidRPr="000A1160">
        <w:rPr>
          <w:szCs w:val="24"/>
          <w:lang w:val="fr-FR"/>
        </w:rPr>
        <w:t>’</w:t>
      </w:r>
      <w:r w:rsidR="00A37FF6" w:rsidRPr="000A1160">
        <w:rPr>
          <w:szCs w:val="24"/>
          <w:lang w:val="fr-FR"/>
        </w:rPr>
        <w:t>exercent effectivement sa gestion centrale et son contrôle</w:t>
      </w:r>
      <w:r w:rsidR="00186B92" w:rsidRPr="000A1160">
        <w:rPr>
          <w:szCs w:val="24"/>
          <w:lang w:val="fr-FR"/>
        </w:rPr>
        <w:t xml:space="preserve">. </w:t>
      </w:r>
      <w:r w:rsidRPr="000A1160">
        <w:rPr>
          <w:szCs w:val="24"/>
        </w:rPr>
        <w:t xml:space="preserve"> </w:t>
      </w:r>
      <w:r w:rsidR="00537794" w:rsidRPr="000A1160">
        <w:rPr>
          <w:szCs w:val="24"/>
        </w:rPr>
        <w:t>Le lieu de r</w:t>
      </w:r>
      <w:r w:rsidR="008B1E19" w:rsidRPr="000A1160">
        <w:rPr>
          <w:szCs w:val="24"/>
        </w:rPr>
        <w:t>é</w:t>
      </w:r>
      <w:r w:rsidR="00537794" w:rsidRPr="000A1160">
        <w:rPr>
          <w:szCs w:val="24"/>
        </w:rPr>
        <w:t>sidence de la fiducie ne correspond pas toujours à celui du fiduciaire</w:t>
      </w:r>
      <w:r w:rsidR="00186B92" w:rsidRPr="000A1160">
        <w:rPr>
          <w:szCs w:val="24"/>
        </w:rPr>
        <w:t xml:space="preserve">. </w:t>
      </w:r>
      <w:r w:rsidR="00946602" w:rsidRPr="000A1160">
        <w:rPr>
          <w:szCs w:val="24"/>
        </w:rPr>
        <w:t xml:space="preserve"> </w:t>
      </w:r>
      <w:r w:rsidR="00537794" w:rsidRPr="000A1160">
        <w:rPr>
          <w:szCs w:val="24"/>
        </w:rPr>
        <w:t xml:space="preserve">Ce sera le cas lorsque </w:t>
      </w:r>
      <w:r w:rsidR="00653B03" w:rsidRPr="000A1160">
        <w:rPr>
          <w:szCs w:val="24"/>
        </w:rPr>
        <w:t xml:space="preserve">le fiduciaire </w:t>
      </w:r>
      <w:r w:rsidR="00537794" w:rsidRPr="000A1160">
        <w:rPr>
          <w:szCs w:val="24"/>
          <w:lang w:val="fr-FR"/>
        </w:rPr>
        <w:t xml:space="preserve">exerce la gestion centrale et le contrôle de la fiducie là où il </w:t>
      </w:r>
      <w:r w:rsidR="008B1E19" w:rsidRPr="000A1160">
        <w:rPr>
          <w:szCs w:val="24"/>
          <w:lang w:val="fr-FR"/>
        </w:rPr>
        <w:t>est résident</w:t>
      </w:r>
      <w:r w:rsidR="00186B92" w:rsidRPr="000A1160">
        <w:rPr>
          <w:szCs w:val="24"/>
        </w:rPr>
        <w:t xml:space="preserve">. </w:t>
      </w:r>
      <w:r w:rsidRPr="000A1160">
        <w:rPr>
          <w:szCs w:val="24"/>
        </w:rPr>
        <w:t xml:space="preserve"> </w:t>
      </w:r>
      <w:r w:rsidR="00537794" w:rsidRPr="000A1160">
        <w:rPr>
          <w:szCs w:val="24"/>
        </w:rPr>
        <w:t>En l</w:t>
      </w:r>
      <w:r w:rsidR="00651C6C" w:rsidRPr="000A1160">
        <w:rPr>
          <w:szCs w:val="24"/>
        </w:rPr>
        <w:t>’</w:t>
      </w:r>
      <w:r w:rsidR="00537794" w:rsidRPr="000A1160">
        <w:rPr>
          <w:szCs w:val="24"/>
        </w:rPr>
        <w:t xml:space="preserve">espèce, toutefois, </w:t>
      </w:r>
      <w:r w:rsidR="00313AF0" w:rsidRPr="000A1160">
        <w:rPr>
          <w:szCs w:val="24"/>
        </w:rPr>
        <w:t xml:space="preserve">les fiducies sont des </w:t>
      </w:r>
      <w:r w:rsidR="00653B03" w:rsidRPr="000A1160">
        <w:rPr>
          <w:szCs w:val="24"/>
        </w:rPr>
        <w:t>ré</w:t>
      </w:r>
      <w:r w:rsidR="00313AF0" w:rsidRPr="000A1160">
        <w:rPr>
          <w:szCs w:val="24"/>
        </w:rPr>
        <w:t xml:space="preserve">sidents </w:t>
      </w:r>
      <w:r w:rsidR="00313AF0" w:rsidRPr="000A1160">
        <w:rPr>
          <w:szCs w:val="24"/>
        </w:rPr>
        <w:lastRenderedPageBreak/>
        <w:t xml:space="preserve">du </w:t>
      </w:r>
      <w:r w:rsidRPr="000A1160">
        <w:rPr>
          <w:szCs w:val="24"/>
        </w:rPr>
        <w:t xml:space="preserve">Canada, </w:t>
      </w:r>
      <w:r w:rsidR="00313AF0" w:rsidRPr="000A1160">
        <w:rPr>
          <w:szCs w:val="24"/>
        </w:rPr>
        <w:t xml:space="preserve">étant donné que </w:t>
      </w:r>
      <w:r w:rsidR="00313AF0" w:rsidRPr="000A1160">
        <w:rPr>
          <w:szCs w:val="24"/>
          <w:lang w:val="fr-FR"/>
        </w:rPr>
        <w:t>les bénéficiaires principaux exerçaient la gestion centrale et le contrôle des fiducies au Canada et que la fiduciaire ne jouait qu</w:t>
      </w:r>
      <w:r w:rsidR="00651C6C" w:rsidRPr="000A1160">
        <w:rPr>
          <w:szCs w:val="24"/>
          <w:lang w:val="fr-FR"/>
        </w:rPr>
        <w:t>’</w:t>
      </w:r>
      <w:r w:rsidR="00313AF0" w:rsidRPr="000A1160">
        <w:rPr>
          <w:szCs w:val="24"/>
          <w:lang w:val="fr-FR"/>
        </w:rPr>
        <w:t>un rôle limité — prestation de services administratifs — et n</w:t>
      </w:r>
      <w:r w:rsidR="00651C6C" w:rsidRPr="000A1160">
        <w:rPr>
          <w:szCs w:val="24"/>
          <w:lang w:val="fr-FR"/>
        </w:rPr>
        <w:t>’</w:t>
      </w:r>
      <w:r w:rsidR="00313AF0" w:rsidRPr="000A1160">
        <w:rPr>
          <w:szCs w:val="24"/>
          <w:lang w:val="fr-FR"/>
        </w:rPr>
        <w:t>assumait que peu ou pas d</w:t>
      </w:r>
      <w:r w:rsidR="00651C6C" w:rsidRPr="000A1160">
        <w:rPr>
          <w:szCs w:val="24"/>
          <w:lang w:val="fr-FR"/>
        </w:rPr>
        <w:t>’</w:t>
      </w:r>
      <w:r w:rsidR="00313AF0" w:rsidRPr="000A1160">
        <w:rPr>
          <w:szCs w:val="24"/>
          <w:lang w:val="fr-FR"/>
        </w:rPr>
        <w:t>autres responsabilités</w:t>
      </w:r>
      <w:r w:rsidR="00186B92" w:rsidRPr="000A1160">
        <w:rPr>
          <w:szCs w:val="24"/>
          <w:lang w:val="fr-FR"/>
        </w:rPr>
        <w:t xml:space="preserve">. </w:t>
      </w:r>
    </w:p>
    <w:p w:rsidR="007E1C47" w:rsidRPr="000A1160" w:rsidRDefault="0043088E" w:rsidP="000674A8">
      <w:pPr>
        <w:pStyle w:val="SCCNormalDoubleSpacing"/>
        <w:keepNext/>
        <w:spacing w:after="720" w:line="240" w:lineRule="auto"/>
        <w:rPr>
          <w:b/>
          <w:szCs w:val="24"/>
          <w:lang w:val="en-US"/>
        </w:rPr>
      </w:pPr>
      <w:r w:rsidRPr="000A1160">
        <w:rPr>
          <w:b/>
          <w:szCs w:val="24"/>
          <w:lang w:val="en-US"/>
        </w:rPr>
        <w:t>Jurisprudence</w:t>
      </w:r>
    </w:p>
    <w:p w:rsidR="000F00B7" w:rsidRPr="000A1160" w:rsidRDefault="002E6705" w:rsidP="000674A8">
      <w:pPr>
        <w:pStyle w:val="SCCNormalDoubleSpacing"/>
        <w:widowControl w:val="0"/>
        <w:spacing w:after="480"/>
        <w:rPr>
          <w:szCs w:val="24"/>
          <w:lang w:val="en-US"/>
        </w:rPr>
      </w:pPr>
      <w:r w:rsidRPr="000A1160">
        <w:rPr>
          <w:szCs w:val="24"/>
          <w:lang w:val="en-US"/>
        </w:rPr>
        <w:tab/>
      </w:r>
      <w:proofErr w:type="spellStart"/>
      <w:r w:rsidR="0043088E" w:rsidRPr="000A1160">
        <w:rPr>
          <w:b/>
          <w:szCs w:val="24"/>
          <w:lang w:val="en-US"/>
        </w:rPr>
        <w:t>Arrêts</w:t>
      </w:r>
      <w:proofErr w:type="spellEnd"/>
      <w:r w:rsidR="0043088E" w:rsidRPr="000A1160">
        <w:rPr>
          <w:b/>
          <w:szCs w:val="24"/>
          <w:lang w:val="en-US"/>
        </w:rPr>
        <w:t xml:space="preserve"> </w:t>
      </w:r>
      <w:proofErr w:type="spellStart"/>
      <w:r w:rsidR="0043088E" w:rsidRPr="000A1160">
        <w:rPr>
          <w:b/>
          <w:szCs w:val="24"/>
          <w:lang w:val="en-US"/>
        </w:rPr>
        <w:t>mentionnés</w:t>
      </w:r>
      <w:proofErr w:type="spellEnd"/>
      <w:r w:rsidR="00FE175C" w:rsidRPr="000A1160">
        <w:rPr>
          <w:b/>
          <w:szCs w:val="24"/>
          <w:lang w:val="en-US"/>
        </w:rPr>
        <w:t> :</w:t>
      </w:r>
      <w:r w:rsidR="00172A04" w:rsidRPr="000A1160">
        <w:rPr>
          <w:szCs w:val="24"/>
          <w:lang w:val="en-US"/>
        </w:rPr>
        <w:t xml:space="preserve"> </w:t>
      </w:r>
      <w:r w:rsidR="000F00B7" w:rsidRPr="000A1160">
        <w:rPr>
          <w:i/>
          <w:szCs w:val="24"/>
          <w:lang w:val="en-US"/>
        </w:rPr>
        <w:t>De Beers Consolidated Mines, Ltd</w:t>
      </w:r>
      <w:r w:rsidR="00186B92" w:rsidRPr="000A1160">
        <w:rPr>
          <w:i/>
          <w:szCs w:val="24"/>
          <w:lang w:val="en-US"/>
        </w:rPr>
        <w:t xml:space="preserve">. </w:t>
      </w:r>
      <w:r w:rsidR="000F00B7" w:rsidRPr="000A1160">
        <w:rPr>
          <w:i/>
          <w:szCs w:val="24"/>
          <w:lang w:val="en-US"/>
        </w:rPr>
        <w:t>c</w:t>
      </w:r>
      <w:r w:rsidR="00186B92" w:rsidRPr="000A1160">
        <w:rPr>
          <w:i/>
          <w:szCs w:val="24"/>
          <w:lang w:val="en-US"/>
        </w:rPr>
        <w:t xml:space="preserve">. </w:t>
      </w:r>
      <w:r w:rsidR="000F00B7" w:rsidRPr="000A1160">
        <w:rPr>
          <w:i/>
          <w:szCs w:val="24"/>
          <w:lang w:val="en-US"/>
        </w:rPr>
        <w:t>Howe</w:t>
      </w:r>
      <w:r w:rsidR="000F00B7" w:rsidRPr="000A1160">
        <w:rPr>
          <w:szCs w:val="24"/>
          <w:lang w:val="en-US"/>
        </w:rPr>
        <w:t>, [1906] A</w:t>
      </w:r>
      <w:r w:rsidR="008C5507" w:rsidRPr="000A1160">
        <w:rPr>
          <w:szCs w:val="24"/>
          <w:lang w:val="en-US"/>
        </w:rPr>
        <w:t>.</w:t>
      </w:r>
      <w:r w:rsidR="000F00B7" w:rsidRPr="000A1160">
        <w:rPr>
          <w:szCs w:val="24"/>
          <w:lang w:val="en-US"/>
        </w:rPr>
        <w:t>C</w:t>
      </w:r>
      <w:r w:rsidR="00186B92" w:rsidRPr="000A1160">
        <w:rPr>
          <w:szCs w:val="24"/>
          <w:lang w:val="en-US"/>
        </w:rPr>
        <w:t xml:space="preserve">. </w:t>
      </w:r>
      <w:r w:rsidR="000F00B7" w:rsidRPr="000A1160">
        <w:rPr>
          <w:szCs w:val="24"/>
          <w:lang w:val="en-US"/>
        </w:rPr>
        <w:t>455</w:t>
      </w:r>
      <w:r w:rsidR="00F447E2" w:rsidRPr="000A1160">
        <w:rPr>
          <w:szCs w:val="24"/>
          <w:lang w:val="en-US"/>
        </w:rPr>
        <w:t xml:space="preserve">; </w:t>
      </w:r>
      <w:r w:rsidR="00F447E2" w:rsidRPr="000A1160">
        <w:rPr>
          <w:i/>
          <w:iCs/>
          <w:szCs w:val="24"/>
          <w:lang w:val="en-US"/>
        </w:rPr>
        <w:t>The King c</w:t>
      </w:r>
      <w:r w:rsidR="00186B92" w:rsidRPr="000A1160">
        <w:rPr>
          <w:i/>
          <w:iCs/>
          <w:szCs w:val="24"/>
          <w:lang w:val="en-US"/>
        </w:rPr>
        <w:t xml:space="preserve">. </w:t>
      </w:r>
      <w:r w:rsidR="00F447E2" w:rsidRPr="000A1160">
        <w:rPr>
          <w:i/>
          <w:iCs/>
          <w:szCs w:val="24"/>
          <w:lang w:val="en-US"/>
        </w:rPr>
        <w:t>British Columbia Electric Railway Co</w:t>
      </w:r>
      <w:r w:rsidR="00186B92" w:rsidRPr="000A1160">
        <w:rPr>
          <w:i/>
          <w:iCs/>
          <w:szCs w:val="24"/>
          <w:lang w:val="en-US"/>
        </w:rPr>
        <w:t>.</w:t>
      </w:r>
      <w:r w:rsidR="00F447E2" w:rsidRPr="000A1160">
        <w:rPr>
          <w:iCs/>
          <w:szCs w:val="24"/>
          <w:lang w:val="en-US"/>
        </w:rPr>
        <w:t>,</w:t>
      </w:r>
      <w:r w:rsidR="00F447E2" w:rsidRPr="000A1160">
        <w:rPr>
          <w:i/>
          <w:iCs/>
          <w:szCs w:val="24"/>
          <w:lang w:val="en-US"/>
        </w:rPr>
        <w:t xml:space="preserve"> </w:t>
      </w:r>
      <w:r w:rsidR="00F447E2" w:rsidRPr="000A1160">
        <w:rPr>
          <w:szCs w:val="24"/>
          <w:lang w:val="en-US"/>
        </w:rPr>
        <w:t>[1945] C</w:t>
      </w:r>
      <w:r w:rsidR="000E5663" w:rsidRPr="000A1160">
        <w:rPr>
          <w:szCs w:val="24"/>
          <w:lang w:val="en-US"/>
        </w:rPr>
        <w:t>.</w:t>
      </w:r>
      <w:r w:rsidR="00F447E2" w:rsidRPr="000A1160">
        <w:rPr>
          <w:szCs w:val="24"/>
          <w:lang w:val="en-US"/>
        </w:rPr>
        <w:t>T</w:t>
      </w:r>
      <w:r w:rsidR="000E5663" w:rsidRPr="000A1160">
        <w:rPr>
          <w:szCs w:val="24"/>
          <w:lang w:val="en-US"/>
        </w:rPr>
        <w:t>.</w:t>
      </w:r>
      <w:r w:rsidR="00F447E2" w:rsidRPr="000A1160">
        <w:rPr>
          <w:szCs w:val="24"/>
          <w:lang w:val="en-US"/>
        </w:rPr>
        <w:t>C</w:t>
      </w:r>
      <w:r w:rsidR="00F549D8" w:rsidRPr="000A1160">
        <w:rPr>
          <w:szCs w:val="24"/>
          <w:lang w:val="en-US"/>
        </w:rPr>
        <w:t>. </w:t>
      </w:r>
      <w:r w:rsidR="00F447E2" w:rsidRPr="000A1160">
        <w:rPr>
          <w:szCs w:val="24"/>
          <w:lang w:val="en-US"/>
        </w:rPr>
        <w:t xml:space="preserve">162; </w:t>
      </w:r>
      <w:proofErr w:type="spellStart"/>
      <w:r w:rsidR="00F447E2" w:rsidRPr="000A1160">
        <w:rPr>
          <w:i/>
          <w:szCs w:val="24"/>
          <w:lang w:val="en-US"/>
        </w:rPr>
        <w:t>Crossley</w:t>
      </w:r>
      <w:proofErr w:type="spellEnd"/>
      <w:r w:rsidR="00F447E2" w:rsidRPr="000A1160">
        <w:rPr>
          <w:i/>
          <w:szCs w:val="24"/>
          <w:lang w:val="en-US"/>
        </w:rPr>
        <w:t xml:space="preserve"> Carpets (Canada) Ltd</w:t>
      </w:r>
      <w:r w:rsidR="00186B92" w:rsidRPr="000A1160">
        <w:rPr>
          <w:i/>
          <w:szCs w:val="24"/>
          <w:lang w:val="en-US"/>
        </w:rPr>
        <w:t xml:space="preserve">. </w:t>
      </w:r>
      <w:r w:rsidR="00F447E2" w:rsidRPr="000A1160">
        <w:rPr>
          <w:i/>
          <w:szCs w:val="24"/>
          <w:lang w:val="en-US"/>
        </w:rPr>
        <w:t>c</w:t>
      </w:r>
      <w:r w:rsidR="00186B92" w:rsidRPr="000A1160">
        <w:rPr>
          <w:i/>
          <w:szCs w:val="24"/>
          <w:lang w:val="en-US"/>
        </w:rPr>
        <w:t xml:space="preserve">. </w:t>
      </w:r>
      <w:r w:rsidR="00F447E2" w:rsidRPr="000A1160">
        <w:rPr>
          <w:i/>
          <w:szCs w:val="24"/>
          <w:lang w:val="en-US"/>
        </w:rPr>
        <w:t>M</w:t>
      </w:r>
      <w:r w:rsidR="000E5663" w:rsidRPr="000A1160">
        <w:rPr>
          <w:i/>
          <w:szCs w:val="24"/>
          <w:lang w:val="en-US"/>
        </w:rPr>
        <w:t>.</w:t>
      </w:r>
      <w:r w:rsidR="00F447E2" w:rsidRPr="000A1160">
        <w:rPr>
          <w:i/>
          <w:szCs w:val="24"/>
          <w:lang w:val="en-US"/>
        </w:rPr>
        <w:t>N</w:t>
      </w:r>
      <w:r w:rsidR="000E5663" w:rsidRPr="000A1160">
        <w:rPr>
          <w:i/>
          <w:szCs w:val="24"/>
          <w:lang w:val="en-US"/>
        </w:rPr>
        <w:t>.</w:t>
      </w:r>
      <w:r w:rsidR="00F447E2" w:rsidRPr="000A1160">
        <w:rPr>
          <w:i/>
          <w:szCs w:val="24"/>
          <w:lang w:val="en-US"/>
        </w:rPr>
        <w:t>R</w:t>
      </w:r>
      <w:r w:rsidR="00F549D8" w:rsidRPr="000A1160">
        <w:rPr>
          <w:i/>
          <w:szCs w:val="24"/>
          <w:lang w:val="en-US"/>
        </w:rPr>
        <w:t>.</w:t>
      </w:r>
      <w:r w:rsidR="00F447E2" w:rsidRPr="000A1160">
        <w:rPr>
          <w:i/>
          <w:szCs w:val="24"/>
          <w:lang w:val="en-US"/>
        </w:rPr>
        <w:t xml:space="preserve"> </w:t>
      </w:r>
      <w:r w:rsidR="00305D2B">
        <w:rPr>
          <w:szCs w:val="24"/>
          <w:lang w:val="en-US"/>
        </w:rPr>
        <w:t>(1967</w:t>
      </w:r>
      <w:r w:rsidR="00F447E2" w:rsidRPr="000A1160">
        <w:rPr>
          <w:szCs w:val="24"/>
          <w:lang w:val="en-US"/>
        </w:rPr>
        <w:t>), 67 D</w:t>
      </w:r>
      <w:r w:rsidR="000E5663" w:rsidRPr="000A1160">
        <w:rPr>
          <w:szCs w:val="24"/>
          <w:lang w:val="en-US"/>
        </w:rPr>
        <w:t>.</w:t>
      </w:r>
      <w:r w:rsidR="00F447E2" w:rsidRPr="000A1160">
        <w:rPr>
          <w:szCs w:val="24"/>
          <w:lang w:val="en-US"/>
        </w:rPr>
        <w:t>T</w:t>
      </w:r>
      <w:r w:rsidR="000E5663" w:rsidRPr="000A1160">
        <w:rPr>
          <w:szCs w:val="24"/>
          <w:lang w:val="en-US"/>
        </w:rPr>
        <w:t>.</w:t>
      </w:r>
      <w:r w:rsidR="00F447E2" w:rsidRPr="000A1160">
        <w:rPr>
          <w:szCs w:val="24"/>
          <w:lang w:val="en-US"/>
        </w:rPr>
        <w:t>C</w:t>
      </w:r>
      <w:r w:rsidR="00186B92" w:rsidRPr="000A1160">
        <w:rPr>
          <w:szCs w:val="24"/>
          <w:lang w:val="en-US"/>
        </w:rPr>
        <w:t xml:space="preserve">. </w:t>
      </w:r>
      <w:r w:rsidR="00F447E2" w:rsidRPr="000A1160">
        <w:rPr>
          <w:szCs w:val="24"/>
          <w:lang w:val="en-US"/>
        </w:rPr>
        <w:t xml:space="preserve">522; </w:t>
      </w:r>
      <w:r w:rsidR="00F447E2" w:rsidRPr="000A1160">
        <w:rPr>
          <w:i/>
          <w:szCs w:val="24"/>
          <w:lang w:val="en-US"/>
        </w:rPr>
        <w:t>Unit Construction Co</w:t>
      </w:r>
      <w:r w:rsidR="00186B92" w:rsidRPr="000A1160">
        <w:rPr>
          <w:i/>
          <w:szCs w:val="24"/>
          <w:lang w:val="en-US"/>
        </w:rPr>
        <w:t xml:space="preserve">. </w:t>
      </w:r>
      <w:r w:rsidR="00F447E2" w:rsidRPr="000A1160">
        <w:rPr>
          <w:i/>
          <w:szCs w:val="24"/>
          <w:lang w:val="en-US"/>
        </w:rPr>
        <w:t>c</w:t>
      </w:r>
      <w:r w:rsidR="00186B92" w:rsidRPr="000A1160">
        <w:rPr>
          <w:i/>
          <w:szCs w:val="24"/>
          <w:lang w:val="en-US"/>
        </w:rPr>
        <w:t xml:space="preserve">. </w:t>
      </w:r>
      <w:r w:rsidR="00F447E2" w:rsidRPr="000A1160">
        <w:rPr>
          <w:i/>
          <w:szCs w:val="24"/>
          <w:lang w:val="en-US"/>
        </w:rPr>
        <w:t>Bullock</w:t>
      </w:r>
      <w:r w:rsidR="00F447E2" w:rsidRPr="000A1160">
        <w:rPr>
          <w:szCs w:val="24"/>
          <w:lang w:val="en-US"/>
        </w:rPr>
        <w:t>, [1960] A</w:t>
      </w:r>
      <w:r w:rsidR="000E5663" w:rsidRPr="000A1160">
        <w:rPr>
          <w:szCs w:val="24"/>
          <w:lang w:val="en-US"/>
        </w:rPr>
        <w:t>.</w:t>
      </w:r>
      <w:r w:rsidR="00F447E2" w:rsidRPr="000A1160">
        <w:rPr>
          <w:szCs w:val="24"/>
          <w:lang w:val="en-US"/>
        </w:rPr>
        <w:t>C</w:t>
      </w:r>
      <w:r w:rsidR="00186B92" w:rsidRPr="000A1160">
        <w:rPr>
          <w:szCs w:val="24"/>
          <w:lang w:val="en-US"/>
        </w:rPr>
        <w:t xml:space="preserve">. </w:t>
      </w:r>
      <w:r w:rsidR="00F447E2" w:rsidRPr="000A1160">
        <w:rPr>
          <w:szCs w:val="24"/>
          <w:lang w:val="en-US"/>
        </w:rPr>
        <w:t>351</w:t>
      </w:r>
      <w:r w:rsidR="00186B92" w:rsidRPr="000A1160">
        <w:rPr>
          <w:szCs w:val="24"/>
          <w:lang w:val="en-US"/>
        </w:rPr>
        <w:t xml:space="preserve">. </w:t>
      </w:r>
    </w:p>
    <w:p w:rsidR="00231F3A" w:rsidRPr="000A1160" w:rsidRDefault="0043088E" w:rsidP="000674A8">
      <w:pPr>
        <w:pStyle w:val="SCCNormalDoubleSpacing"/>
        <w:keepNext/>
        <w:spacing w:after="720" w:line="240" w:lineRule="auto"/>
        <w:rPr>
          <w:b/>
          <w:szCs w:val="24"/>
        </w:rPr>
      </w:pPr>
      <w:r w:rsidRPr="000A1160">
        <w:rPr>
          <w:b/>
          <w:szCs w:val="24"/>
        </w:rPr>
        <w:t>Lois</w:t>
      </w:r>
      <w:r w:rsidR="002E6705" w:rsidRPr="000A1160">
        <w:rPr>
          <w:b/>
          <w:szCs w:val="24"/>
        </w:rPr>
        <w:t xml:space="preserve"> </w:t>
      </w:r>
      <w:r w:rsidR="008A6558" w:rsidRPr="000A1160">
        <w:rPr>
          <w:b/>
          <w:szCs w:val="24"/>
        </w:rPr>
        <w:t>et</w:t>
      </w:r>
      <w:r w:rsidR="002E6705" w:rsidRPr="000A1160">
        <w:rPr>
          <w:b/>
          <w:szCs w:val="24"/>
        </w:rPr>
        <w:t xml:space="preserve"> </w:t>
      </w:r>
      <w:r w:rsidRPr="000A1160">
        <w:rPr>
          <w:b/>
          <w:szCs w:val="24"/>
        </w:rPr>
        <w:t>rè</w:t>
      </w:r>
      <w:r w:rsidR="002E6705" w:rsidRPr="000A1160">
        <w:rPr>
          <w:b/>
          <w:szCs w:val="24"/>
        </w:rPr>
        <w:t>gl</w:t>
      </w:r>
      <w:r w:rsidRPr="000A1160">
        <w:rPr>
          <w:b/>
          <w:szCs w:val="24"/>
        </w:rPr>
        <w:t>ements</w:t>
      </w:r>
      <w:r w:rsidR="002E6705" w:rsidRPr="000A1160">
        <w:rPr>
          <w:b/>
          <w:szCs w:val="24"/>
        </w:rPr>
        <w:t xml:space="preserve"> </w:t>
      </w:r>
      <w:r w:rsidRPr="000A1160">
        <w:rPr>
          <w:b/>
          <w:szCs w:val="24"/>
        </w:rPr>
        <w:t>c</w:t>
      </w:r>
      <w:r w:rsidR="002E6705" w:rsidRPr="000A1160">
        <w:rPr>
          <w:b/>
          <w:szCs w:val="24"/>
        </w:rPr>
        <w:t>it</w:t>
      </w:r>
      <w:r w:rsidRPr="000A1160">
        <w:rPr>
          <w:b/>
          <w:szCs w:val="24"/>
        </w:rPr>
        <w:t>és</w:t>
      </w:r>
    </w:p>
    <w:p w:rsidR="00AC2D6E" w:rsidRPr="000A1160" w:rsidRDefault="003B3096" w:rsidP="00FE175C">
      <w:pPr>
        <w:spacing w:after="240"/>
        <w:ind w:left="357" w:hanging="357"/>
        <w:rPr>
          <w:szCs w:val="24"/>
        </w:rPr>
      </w:pPr>
      <w:r w:rsidRPr="000A1160">
        <w:rPr>
          <w:i/>
          <w:szCs w:val="24"/>
        </w:rPr>
        <w:t>Loi de 1980 sur l</w:t>
      </w:r>
      <w:r w:rsidR="00651C6C" w:rsidRPr="000A1160">
        <w:rPr>
          <w:i/>
          <w:szCs w:val="24"/>
        </w:rPr>
        <w:t>’</w:t>
      </w:r>
      <w:r w:rsidRPr="000A1160">
        <w:rPr>
          <w:i/>
          <w:szCs w:val="24"/>
        </w:rPr>
        <w:t xml:space="preserve">Accord </w:t>
      </w:r>
      <w:r w:rsidR="000E5663" w:rsidRPr="000A1160">
        <w:rPr>
          <w:i/>
          <w:szCs w:val="24"/>
        </w:rPr>
        <w:t>Canada-</w:t>
      </w:r>
      <w:r w:rsidRPr="000A1160">
        <w:rPr>
          <w:i/>
          <w:szCs w:val="24"/>
        </w:rPr>
        <w:t>Barbade en matière d</w:t>
      </w:r>
      <w:r w:rsidR="00651C6C" w:rsidRPr="000A1160">
        <w:rPr>
          <w:i/>
          <w:szCs w:val="24"/>
        </w:rPr>
        <w:t>’</w:t>
      </w:r>
      <w:r w:rsidRPr="000A1160">
        <w:rPr>
          <w:i/>
          <w:szCs w:val="24"/>
        </w:rPr>
        <w:t>impôt sur le revenu</w:t>
      </w:r>
      <w:r w:rsidR="00AC2D6E" w:rsidRPr="000A1160">
        <w:rPr>
          <w:szCs w:val="24"/>
        </w:rPr>
        <w:t>, S</w:t>
      </w:r>
      <w:r w:rsidR="000E5663" w:rsidRPr="000A1160">
        <w:rPr>
          <w:szCs w:val="24"/>
        </w:rPr>
        <w:t>.</w:t>
      </w:r>
      <w:r w:rsidR="00AC2D6E" w:rsidRPr="000A1160">
        <w:rPr>
          <w:szCs w:val="24"/>
        </w:rPr>
        <w:t>C</w:t>
      </w:r>
      <w:r w:rsidR="00186B92" w:rsidRPr="000A1160">
        <w:rPr>
          <w:szCs w:val="24"/>
        </w:rPr>
        <w:t xml:space="preserve">. </w:t>
      </w:r>
      <w:r w:rsidR="00AC2D6E" w:rsidRPr="000A1160">
        <w:rPr>
          <w:szCs w:val="24"/>
        </w:rPr>
        <w:t>1980</w:t>
      </w:r>
      <w:r w:rsidR="00FE175C" w:rsidRPr="000A1160">
        <w:rPr>
          <w:szCs w:val="24"/>
        </w:rPr>
        <w:noBreakHyphen/>
      </w:r>
      <w:r w:rsidR="00AC2D6E" w:rsidRPr="000A1160">
        <w:rPr>
          <w:szCs w:val="24"/>
        </w:rPr>
        <w:t>81</w:t>
      </w:r>
      <w:r w:rsidR="00FE175C" w:rsidRPr="000A1160">
        <w:rPr>
          <w:szCs w:val="24"/>
        </w:rPr>
        <w:noBreakHyphen/>
      </w:r>
      <w:r w:rsidR="00305D2B">
        <w:rPr>
          <w:szCs w:val="24"/>
        </w:rPr>
        <w:t>82-</w:t>
      </w:r>
      <w:r w:rsidR="00AC2D6E" w:rsidRPr="000A1160">
        <w:rPr>
          <w:szCs w:val="24"/>
        </w:rPr>
        <w:t xml:space="preserve">83, </w:t>
      </w:r>
      <w:r w:rsidR="00FE175C" w:rsidRPr="000A1160">
        <w:rPr>
          <w:szCs w:val="24"/>
        </w:rPr>
        <w:t>ch</w:t>
      </w:r>
      <w:r w:rsidR="00F549D8" w:rsidRPr="000A1160">
        <w:rPr>
          <w:szCs w:val="24"/>
        </w:rPr>
        <w:t>. </w:t>
      </w:r>
      <w:r w:rsidR="00AC2D6E" w:rsidRPr="000A1160">
        <w:rPr>
          <w:szCs w:val="24"/>
        </w:rPr>
        <w:t xml:space="preserve">44, </w:t>
      </w:r>
      <w:r w:rsidR="00FE175C" w:rsidRPr="000A1160">
        <w:rPr>
          <w:szCs w:val="24"/>
        </w:rPr>
        <w:t>art</w:t>
      </w:r>
      <w:r w:rsidR="00F549D8" w:rsidRPr="000A1160">
        <w:rPr>
          <w:szCs w:val="24"/>
        </w:rPr>
        <w:t>.</w:t>
      </w:r>
      <w:r w:rsidR="00FE175C" w:rsidRPr="000A1160">
        <w:rPr>
          <w:szCs w:val="24"/>
        </w:rPr>
        <w:t> </w:t>
      </w:r>
      <w:r w:rsidR="00AC2D6E" w:rsidRPr="000A1160">
        <w:rPr>
          <w:szCs w:val="24"/>
        </w:rPr>
        <w:t>25</w:t>
      </w:r>
      <w:r w:rsidR="00186B92" w:rsidRPr="000A1160">
        <w:rPr>
          <w:szCs w:val="24"/>
        </w:rPr>
        <w:t xml:space="preserve">. </w:t>
      </w:r>
    </w:p>
    <w:p w:rsidR="000E6EF6" w:rsidRPr="000A1160" w:rsidRDefault="000E6EF6" w:rsidP="003427BD">
      <w:pPr>
        <w:spacing w:after="720"/>
        <w:ind w:left="360" w:hanging="360"/>
        <w:rPr>
          <w:szCs w:val="24"/>
        </w:rPr>
      </w:pPr>
      <w:r w:rsidRPr="000A1160">
        <w:rPr>
          <w:i/>
          <w:szCs w:val="24"/>
        </w:rPr>
        <w:t>Loi de l</w:t>
      </w:r>
      <w:r w:rsidR="00651C6C" w:rsidRPr="000A1160">
        <w:rPr>
          <w:i/>
          <w:szCs w:val="24"/>
        </w:rPr>
        <w:t>’</w:t>
      </w:r>
      <w:r w:rsidRPr="000A1160">
        <w:rPr>
          <w:i/>
          <w:szCs w:val="24"/>
        </w:rPr>
        <w:t>impôt sur le revenu</w:t>
      </w:r>
      <w:r w:rsidRPr="000A1160">
        <w:rPr>
          <w:szCs w:val="24"/>
        </w:rPr>
        <w:t xml:space="preserve">, </w:t>
      </w:r>
      <w:r w:rsidR="001E1C9C" w:rsidRPr="000A1160">
        <w:rPr>
          <w:szCs w:val="24"/>
        </w:rPr>
        <w:t>L</w:t>
      </w:r>
      <w:r w:rsidR="000E5663" w:rsidRPr="000A1160">
        <w:rPr>
          <w:szCs w:val="24"/>
        </w:rPr>
        <w:t>.</w:t>
      </w:r>
      <w:r w:rsidRPr="000A1160">
        <w:rPr>
          <w:szCs w:val="24"/>
        </w:rPr>
        <w:t>R</w:t>
      </w:r>
      <w:r w:rsidR="000E5663" w:rsidRPr="000A1160">
        <w:rPr>
          <w:szCs w:val="24"/>
        </w:rPr>
        <w:t>.</w:t>
      </w:r>
      <w:r w:rsidRPr="000A1160">
        <w:rPr>
          <w:szCs w:val="24"/>
        </w:rPr>
        <w:t>C</w:t>
      </w:r>
      <w:r w:rsidR="00186B92" w:rsidRPr="000A1160">
        <w:rPr>
          <w:szCs w:val="24"/>
        </w:rPr>
        <w:t xml:space="preserve">. </w:t>
      </w:r>
      <w:r w:rsidRPr="000A1160">
        <w:rPr>
          <w:szCs w:val="24"/>
        </w:rPr>
        <w:t xml:space="preserve">1985, </w:t>
      </w:r>
      <w:r w:rsidR="00FE175C" w:rsidRPr="000A1160">
        <w:rPr>
          <w:szCs w:val="24"/>
        </w:rPr>
        <w:t>ch</w:t>
      </w:r>
      <w:r w:rsidR="00186B92" w:rsidRPr="000A1160">
        <w:rPr>
          <w:szCs w:val="24"/>
        </w:rPr>
        <w:t>.</w:t>
      </w:r>
      <w:r w:rsidR="00FE175C" w:rsidRPr="000A1160">
        <w:rPr>
          <w:szCs w:val="24"/>
        </w:rPr>
        <w:t> </w:t>
      </w:r>
      <w:r w:rsidRPr="000A1160">
        <w:rPr>
          <w:szCs w:val="24"/>
        </w:rPr>
        <w:t>1 (5</w:t>
      </w:r>
      <w:r w:rsidR="001E1C9C" w:rsidRPr="000A1160">
        <w:rPr>
          <w:szCs w:val="24"/>
          <w:vertAlign w:val="superscript"/>
        </w:rPr>
        <w:t>e</w:t>
      </w:r>
      <w:r w:rsidR="001E1C9C" w:rsidRPr="000A1160">
        <w:rPr>
          <w:szCs w:val="24"/>
        </w:rPr>
        <w:t xml:space="preserve"> s</w:t>
      </w:r>
      <w:r w:rsidRPr="000A1160">
        <w:rPr>
          <w:szCs w:val="24"/>
        </w:rPr>
        <w:t>upp</w:t>
      </w:r>
      <w:r w:rsidR="001E1C9C" w:rsidRPr="000A1160">
        <w:rPr>
          <w:szCs w:val="24"/>
        </w:rPr>
        <w:t>l</w:t>
      </w:r>
      <w:r w:rsidR="00AD5C8F" w:rsidRPr="000A1160">
        <w:rPr>
          <w:szCs w:val="24"/>
        </w:rPr>
        <w:t>.</w:t>
      </w:r>
      <w:r w:rsidRPr="000A1160">
        <w:rPr>
          <w:szCs w:val="24"/>
        </w:rPr>
        <w:t>)</w:t>
      </w:r>
      <w:r w:rsidR="00F36117" w:rsidRPr="000A1160">
        <w:rPr>
          <w:szCs w:val="24"/>
        </w:rPr>
        <w:t xml:space="preserve">, </w:t>
      </w:r>
      <w:r w:rsidR="00FE175C" w:rsidRPr="000A1160">
        <w:rPr>
          <w:szCs w:val="24"/>
        </w:rPr>
        <w:t>art</w:t>
      </w:r>
      <w:r w:rsidR="00F549D8" w:rsidRPr="000A1160">
        <w:rPr>
          <w:szCs w:val="24"/>
        </w:rPr>
        <w:t>.</w:t>
      </w:r>
      <w:r w:rsidR="00FE175C" w:rsidRPr="000A1160">
        <w:rPr>
          <w:szCs w:val="24"/>
        </w:rPr>
        <w:t> </w:t>
      </w:r>
      <w:r w:rsidR="00FA4EE5" w:rsidRPr="000A1160">
        <w:rPr>
          <w:szCs w:val="24"/>
        </w:rPr>
        <w:t xml:space="preserve">2(1), </w:t>
      </w:r>
      <w:r w:rsidR="00597066" w:rsidRPr="000A1160">
        <w:rPr>
          <w:szCs w:val="24"/>
        </w:rPr>
        <w:t xml:space="preserve">94, </w:t>
      </w:r>
      <w:r w:rsidR="00F36117" w:rsidRPr="000A1160">
        <w:rPr>
          <w:szCs w:val="24"/>
        </w:rPr>
        <w:t>104</w:t>
      </w:r>
      <w:r w:rsidR="00825136" w:rsidRPr="000A1160">
        <w:rPr>
          <w:szCs w:val="24"/>
        </w:rPr>
        <w:t xml:space="preserve">(1), </w:t>
      </w:r>
      <w:r w:rsidR="00F36117" w:rsidRPr="000A1160">
        <w:rPr>
          <w:szCs w:val="24"/>
        </w:rPr>
        <w:t>(2)</w:t>
      </w:r>
      <w:r w:rsidR="006749E9" w:rsidRPr="000A1160">
        <w:rPr>
          <w:szCs w:val="24"/>
        </w:rPr>
        <w:t>, 245</w:t>
      </w:r>
      <w:r w:rsidR="00186B92" w:rsidRPr="000A1160">
        <w:rPr>
          <w:szCs w:val="24"/>
        </w:rPr>
        <w:t xml:space="preserve">. </w:t>
      </w:r>
    </w:p>
    <w:p w:rsidR="000A5321" w:rsidRPr="000A1160" w:rsidRDefault="0040046F" w:rsidP="000674A8">
      <w:pPr>
        <w:pStyle w:val="SCCNormalDoubleSpacing"/>
        <w:keepNext/>
        <w:spacing w:after="720" w:line="240" w:lineRule="auto"/>
        <w:rPr>
          <w:b/>
          <w:szCs w:val="24"/>
        </w:rPr>
      </w:pPr>
      <w:r w:rsidRPr="000A1160">
        <w:rPr>
          <w:b/>
          <w:szCs w:val="24"/>
        </w:rPr>
        <w:t>Traités et autres instruments internationaux</w:t>
      </w:r>
    </w:p>
    <w:p w:rsidR="0040046F" w:rsidRPr="000A1160" w:rsidRDefault="0040046F" w:rsidP="00946602">
      <w:pPr>
        <w:pStyle w:val="SCCNormalDoubleSpacing"/>
        <w:spacing w:after="720" w:line="240" w:lineRule="auto"/>
        <w:ind w:left="540" w:hanging="540"/>
        <w:rPr>
          <w:szCs w:val="24"/>
        </w:rPr>
      </w:pPr>
      <w:r w:rsidRPr="000A1160">
        <w:rPr>
          <w:i/>
          <w:szCs w:val="24"/>
        </w:rPr>
        <w:t xml:space="preserve">Accord </w:t>
      </w:r>
      <w:r w:rsidRPr="000A1160">
        <w:rPr>
          <w:i/>
          <w:iCs/>
          <w:szCs w:val="24"/>
        </w:rPr>
        <w:t>entre</w:t>
      </w:r>
      <w:r w:rsidRPr="000A1160">
        <w:rPr>
          <w:i/>
          <w:szCs w:val="24"/>
        </w:rPr>
        <w:t xml:space="preserve"> le Canada et la Barbade tendant à éviter les doubles impositions et à prévenir l</w:t>
      </w:r>
      <w:r w:rsidR="00651C6C" w:rsidRPr="000A1160">
        <w:rPr>
          <w:i/>
          <w:szCs w:val="24"/>
        </w:rPr>
        <w:t>’</w:t>
      </w:r>
      <w:r w:rsidRPr="000A1160">
        <w:rPr>
          <w:i/>
          <w:szCs w:val="24"/>
        </w:rPr>
        <w:t>évasion fiscale en matière d</w:t>
      </w:r>
      <w:r w:rsidR="00651C6C" w:rsidRPr="000A1160">
        <w:rPr>
          <w:i/>
          <w:szCs w:val="24"/>
        </w:rPr>
        <w:t>’</w:t>
      </w:r>
      <w:r w:rsidRPr="000A1160">
        <w:rPr>
          <w:i/>
          <w:szCs w:val="24"/>
        </w:rPr>
        <w:t>impôts sur le revenu et sur la fortune</w:t>
      </w:r>
      <w:r w:rsidRPr="000A1160">
        <w:rPr>
          <w:szCs w:val="24"/>
        </w:rPr>
        <w:t>, R</w:t>
      </w:r>
      <w:r w:rsidR="00186B92" w:rsidRPr="000A1160">
        <w:rPr>
          <w:szCs w:val="24"/>
        </w:rPr>
        <w:t>.</w:t>
      </w:r>
      <w:r w:rsidRPr="000A1160">
        <w:rPr>
          <w:szCs w:val="24"/>
        </w:rPr>
        <w:t>T</w:t>
      </w:r>
      <w:r w:rsidR="00186B92" w:rsidRPr="000A1160">
        <w:rPr>
          <w:szCs w:val="24"/>
        </w:rPr>
        <w:t xml:space="preserve">. </w:t>
      </w:r>
      <w:r w:rsidRPr="000A1160">
        <w:rPr>
          <w:szCs w:val="24"/>
        </w:rPr>
        <w:t>Can</w:t>
      </w:r>
      <w:r w:rsidR="00186B92" w:rsidRPr="000A1160">
        <w:rPr>
          <w:szCs w:val="24"/>
        </w:rPr>
        <w:t>.</w:t>
      </w:r>
      <w:r w:rsidR="00CB60F9" w:rsidRPr="000A1160">
        <w:rPr>
          <w:szCs w:val="24"/>
        </w:rPr>
        <w:t xml:space="preserve"> </w:t>
      </w:r>
      <w:r w:rsidR="000E5663" w:rsidRPr="000A1160">
        <w:rPr>
          <w:szCs w:val="24"/>
        </w:rPr>
        <w:t>1980</w:t>
      </w:r>
      <w:r w:rsidR="00186B92" w:rsidRPr="000A1160">
        <w:rPr>
          <w:szCs w:val="24"/>
        </w:rPr>
        <w:t xml:space="preserve"> </w:t>
      </w:r>
      <w:proofErr w:type="gramStart"/>
      <w:r w:rsidRPr="000A1160">
        <w:rPr>
          <w:szCs w:val="24"/>
        </w:rPr>
        <w:t>n</w:t>
      </w:r>
      <w:r w:rsidRPr="000A1160">
        <w:rPr>
          <w:szCs w:val="24"/>
          <w:vertAlign w:val="superscript"/>
        </w:rPr>
        <w:t>o</w:t>
      </w:r>
      <w:proofErr w:type="gramEnd"/>
      <w:r w:rsidR="009F4389" w:rsidRPr="000A1160">
        <w:rPr>
          <w:szCs w:val="24"/>
        </w:rPr>
        <w:t> </w:t>
      </w:r>
      <w:r w:rsidRPr="000A1160">
        <w:rPr>
          <w:szCs w:val="24"/>
        </w:rPr>
        <w:t>29</w:t>
      </w:r>
      <w:r w:rsidR="00186B92" w:rsidRPr="000A1160">
        <w:rPr>
          <w:szCs w:val="24"/>
        </w:rPr>
        <w:t xml:space="preserve">. </w:t>
      </w:r>
    </w:p>
    <w:p w:rsidR="002E6705" w:rsidRPr="000A1160" w:rsidRDefault="0043088E" w:rsidP="000674A8">
      <w:pPr>
        <w:pStyle w:val="SCCNormalDoubleSpacing"/>
        <w:keepNext/>
        <w:spacing w:after="720" w:line="240" w:lineRule="auto"/>
        <w:rPr>
          <w:b/>
          <w:szCs w:val="24"/>
        </w:rPr>
      </w:pPr>
      <w:r w:rsidRPr="000A1160">
        <w:rPr>
          <w:b/>
          <w:szCs w:val="24"/>
        </w:rPr>
        <w:lastRenderedPageBreak/>
        <w:t>Doctrine</w:t>
      </w:r>
      <w:r w:rsidR="002E6705" w:rsidRPr="000A1160">
        <w:rPr>
          <w:b/>
          <w:szCs w:val="24"/>
        </w:rPr>
        <w:t xml:space="preserve"> </w:t>
      </w:r>
      <w:r w:rsidR="00A2058D" w:rsidRPr="000A1160">
        <w:rPr>
          <w:b/>
          <w:szCs w:val="24"/>
        </w:rPr>
        <w:t xml:space="preserve">et autres documents </w:t>
      </w:r>
      <w:r w:rsidRPr="000A1160">
        <w:rPr>
          <w:b/>
          <w:szCs w:val="24"/>
        </w:rPr>
        <w:t>c</w:t>
      </w:r>
      <w:r w:rsidR="002E6705" w:rsidRPr="000A1160">
        <w:rPr>
          <w:b/>
          <w:szCs w:val="24"/>
        </w:rPr>
        <w:t>it</w:t>
      </w:r>
      <w:r w:rsidRPr="000A1160">
        <w:rPr>
          <w:b/>
          <w:szCs w:val="24"/>
        </w:rPr>
        <w:t>é</w:t>
      </w:r>
      <w:r w:rsidR="00A2058D" w:rsidRPr="000A1160">
        <w:rPr>
          <w:b/>
          <w:szCs w:val="24"/>
        </w:rPr>
        <w:t>s</w:t>
      </w:r>
    </w:p>
    <w:p w:rsidR="000E6EF6" w:rsidRPr="000A1160" w:rsidRDefault="000E6EF6" w:rsidP="003427BD">
      <w:pPr>
        <w:pStyle w:val="SCCNormalDoubleSpacing"/>
        <w:spacing w:after="720" w:line="240" w:lineRule="auto"/>
        <w:ind w:left="540" w:hanging="540"/>
        <w:rPr>
          <w:szCs w:val="24"/>
        </w:rPr>
      </w:pPr>
      <w:r w:rsidRPr="000A1160">
        <w:rPr>
          <w:szCs w:val="24"/>
          <w:lang w:val="en-US"/>
        </w:rPr>
        <w:t>Krishna, Vern</w:t>
      </w:r>
      <w:r w:rsidR="00186B92" w:rsidRPr="000A1160">
        <w:rPr>
          <w:szCs w:val="24"/>
          <w:lang w:val="en-US"/>
        </w:rPr>
        <w:t xml:space="preserve">. </w:t>
      </w:r>
      <w:r w:rsidRPr="000A1160">
        <w:rPr>
          <w:szCs w:val="24"/>
          <w:lang w:val="en-US"/>
        </w:rPr>
        <w:t xml:space="preserve">  </w:t>
      </w:r>
      <w:proofErr w:type="gramStart"/>
      <w:r w:rsidRPr="000A1160">
        <w:rPr>
          <w:i/>
          <w:iCs/>
          <w:szCs w:val="24"/>
          <w:lang w:val="en-US"/>
        </w:rPr>
        <w:t>The Fundamentals of Income Tax Law</w:t>
      </w:r>
      <w:r w:rsidR="00186B92" w:rsidRPr="000A1160">
        <w:rPr>
          <w:iCs/>
          <w:szCs w:val="24"/>
          <w:lang w:val="en-US"/>
        </w:rPr>
        <w:t>.</w:t>
      </w:r>
      <w:proofErr w:type="gramEnd"/>
      <w:r w:rsidR="00186B92" w:rsidRPr="000A1160">
        <w:rPr>
          <w:iCs/>
          <w:szCs w:val="24"/>
          <w:lang w:val="en-US"/>
        </w:rPr>
        <w:t xml:space="preserve"> </w:t>
      </w:r>
      <w:r w:rsidR="00F549D8" w:rsidRPr="000A1160">
        <w:rPr>
          <w:iCs/>
          <w:szCs w:val="24"/>
          <w:lang w:val="en-US"/>
        </w:rPr>
        <w:t xml:space="preserve"> </w:t>
      </w:r>
      <w:r w:rsidRPr="000A1160">
        <w:rPr>
          <w:szCs w:val="24"/>
        </w:rPr>
        <w:t>Toronto</w:t>
      </w:r>
      <w:r w:rsidR="00FE175C" w:rsidRPr="000A1160">
        <w:rPr>
          <w:szCs w:val="24"/>
        </w:rPr>
        <w:t> :</w:t>
      </w:r>
      <w:r w:rsidRPr="000A1160">
        <w:rPr>
          <w:szCs w:val="24"/>
        </w:rPr>
        <w:t xml:space="preserve"> </w:t>
      </w:r>
      <w:proofErr w:type="spellStart"/>
      <w:r w:rsidRPr="000A1160">
        <w:rPr>
          <w:szCs w:val="24"/>
        </w:rPr>
        <w:t>Carswell</w:t>
      </w:r>
      <w:proofErr w:type="spellEnd"/>
      <w:r w:rsidRPr="000A1160">
        <w:rPr>
          <w:szCs w:val="24"/>
        </w:rPr>
        <w:t>, 2009</w:t>
      </w:r>
      <w:r w:rsidR="00186B92" w:rsidRPr="000A1160">
        <w:rPr>
          <w:szCs w:val="24"/>
        </w:rPr>
        <w:t xml:space="preserve">. </w:t>
      </w:r>
    </w:p>
    <w:p w:rsidR="00D5435D" w:rsidRPr="000A1160" w:rsidRDefault="009B57B3" w:rsidP="003427BD">
      <w:pPr>
        <w:pStyle w:val="SCCNormalDoubleSpacing"/>
        <w:spacing w:after="480"/>
        <w:rPr>
          <w:szCs w:val="24"/>
        </w:rPr>
      </w:pPr>
      <w:r w:rsidRPr="000A1160">
        <w:rPr>
          <w:szCs w:val="24"/>
        </w:rPr>
        <w:tab/>
        <w:t>P</w:t>
      </w:r>
      <w:r w:rsidR="0043088E" w:rsidRPr="000A1160">
        <w:rPr>
          <w:szCs w:val="24"/>
        </w:rPr>
        <w:t>OURVOI</w:t>
      </w:r>
      <w:r w:rsidR="008614F4" w:rsidRPr="000A1160">
        <w:rPr>
          <w:szCs w:val="24"/>
        </w:rPr>
        <w:t>S</w:t>
      </w:r>
      <w:r w:rsidR="0043088E" w:rsidRPr="000A1160">
        <w:rPr>
          <w:szCs w:val="24"/>
        </w:rPr>
        <w:t xml:space="preserve"> contre un arrêt de la</w:t>
      </w:r>
      <w:r w:rsidRPr="000A1160">
        <w:rPr>
          <w:szCs w:val="24"/>
        </w:rPr>
        <w:t xml:space="preserve"> Cour d</w:t>
      </w:r>
      <w:r w:rsidR="00651C6C" w:rsidRPr="000A1160">
        <w:rPr>
          <w:szCs w:val="24"/>
        </w:rPr>
        <w:t>’</w:t>
      </w:r>
      <w:r w:rsidRPr="000A1160">
        <w:rPr>
          <w:szCs w:val="24"/>
        </w:rPr>
        <w:t>appel fédérale</w:t>
      </w:r>
      <w:r w:rsidR="00075294" w:rsidRPr="000A1160">
        <w:rPr>
          <w:szCs w:val="24"/>
        </w:rPr>
        <w:t xml:space="preserve"> (les juges Nadon, </w:t>
      </w:r>
      <w:proofErr w:type="spellStart"/>
      <w:r w:rsidR="00075294" w:rsidRPr="000A1160">
        <w:rPr>
          <w:szCs w:val="24"/>
        </w:rPr>
        <w:t>Sharlow</w:t>
      </w:r>
      <w:proofErr w:type="spellEnd"/>
      <w:r w:rsidR="00075294" w:rsidRPr="000A1160">
        <w:rPr>
          <w:szCs w:val="24"/>
        </w:rPr>
        <w:t xml:space="preserve"> et </w:t>
      </w:r>
      <w:proofErr w:type="spellStart"/>
      <w:r w:rsidR="00075294" w:rsidRPr="000A1160">
        <w:rPr>
          <w:szCs w:val="24"/>
        </w:rPr>
        <w:t>Stratas</w:t>
      </w:r>
      <w:proofErr w:type="spellEnd"/>
      <w:r w:rsidR="00075294" w:rsidRPr="000A1160">
        <w:rPr>
          <w:szCs w:val="24"/>
        </w:rPr>
        <w:t>), 2010 CAF 309, 411 N</w:t>
      </w:r>
      <w:r w:rsidR="00DC22B6" w:rsidRPr="000A1160">
        <w:rPr>
          <w:szCs w:val="24"/>
        </w:rPr>
        <w:t>.</w:t>
      </w:r>
      <w:r w:rsidR="00075294" w:rsidRPr="000A1160">
        <w:rPr>
          <w:szCs w:val="24"/>
        </w:rPr>
        <w:t>R</w:t>
      </w:r>
      <w:r w:rsidR="00186B92" w:rsidRPr="000A1160">
        <w:rPr>
          <w:szCs w:val="24"/>
        </w:rPr>
        <w:t xml:space="preserve">. </w:t>
      </w:r>
      <w:r w:rsidR="00075294" w:rsidRPr="000A1160">
        <w:rPr>
          <w:szCs w:val="24"/>
        </w:rPr>
        <w:t>125, [2011] 2 C</w:t>
      </w:r>
      <w:r w:rsidR="00DC22B6" w:rsidRPr="000A1160">
        <w:rPr>
          <w:szCs w:val="24"/>
        </w:rPr>
        <w:t>.</w:t>
      </w:r>
      <w:r w:rsidR="00075294" w:rsidRPr="000A1160">
        <w:rPr>
          <w:szCs w:val="24"/>
        </w:rPr>
        <w:t>T</w:t>
      </w:r>
      <w:r w:rsidR="00DC22B6" w:rsidRPr="000A1160">
        <w:rPr>
          <w:szCs w:val="24"/>
        </w:rPr>
        <w:t>.</w:t>
      </w:r>
      <w:r w:rsidR="00075294" w:rsidRPr="000A1160">
        <w:rPr>
          <w:szCs w:val="24"/>
        </w:rPr>
        <w:t>C</w:t>
      </w:r>
      <w:r w:rsidR="00186B92" w:rsidRPr="000A1160">
        <w:rPr>
          <w:szCs w:val="24"/>
        </w:rPr>
        <w:t xml:space="preserve">. </w:t>
      </w:r>
      <w:r w:rsidR="00075294" w:rsidRPr="000A1160">
        <w:rPr>
          <w:szCs w:val="24"/>
        </w:rPr>
        <w:t>7, 2010 D</w:t>
      </w:r>
      <w:r w:rsidR="00DC22B6" w:rsidRPr="000A1160">
        <w:rPr>
          <w:szCs w:val="24"/>
        </w:rPr>
        <w:t>.</w:t>
      </w:r>
      <w:r w:rsidR="00075294" w:rsidRPr="000A1160">
        <w:rPr>
          <w:szCs w:val="24"/>
        </w:rPr>
        <w:t>T</w:t>
      </w:r>
      <w:r w:rsidR="00DC22B6" w:rsidRPr="000A1160">
        <w:rPr>
          <w:szCs w:val="24"/>
        </w:rPr>
        <w:t>.</w:t>
      </w:r>
      <w:r w:rsidR="00075294" w:rsidRPr="000A1160">
        <w:rPr>
          <w:szCs w:val="24"/>
        </w:rPr>
        <w:t>C</w:t>
      </w:r>
      <w:r w:rsidR="00186B92" w:rsidRPr="000A1160">
        <w:rPr>
          <w:szCs w:val="24"/>
        </w:rPr>
        <w:t xml:space="preserve">. </w:t>
      </w:r>
      <w:r w:rsidR="00075294" w:rsidRPr="000A1160">
        <w:rPr>
          <w:szCs w:val="24"/>
        </w:rPr>
        <w:t>5189, 61 E</w:t>
      </w:r>
      <w:r w:rsidR="00DC22B6" w:rsidRPr="000A1160">
        <w:rPr>
          <w:szCs w:val="24"/>
        </w:rPr>
        <w:t>.</w:t>
      </w:r>
      <w:r w:rsidR="00075294" w:rsidRPr="000A1160">
        <w:rPr>
          <w:szCs w:val="24"/>
        </w:rPr>
        <w:t>T</w:t>
      </w:r>
      <w:r w:rsidR="00DC22B6" w:rsidRPr="000A1160">
        <w:rPr>
          <w:szCs w:val="24"/>
        </w:rPr>
        <w:t>.</w:t>
      </w:r>
      <w:r w:rsidR="00075294" w:rsidRPr="000A1160">
        <w:rPr>
          <w:szCs w:val="24"/>
        </w:rPr>
        <w:t>R</w:t>
      </w:r>
      <w:r w:rsidR="00186B92" w:rsidRPr="000A1160">
        <w:rPr>
          <w:szCs w:val="24"/>
        </w:rPr>
        <w:t xml:space="preserve">. </w:t>
      </w:r>
      <w:r w:rsidR="00075294" w:rsidRPr="000A1160">
        <w:rPr>
          <w:szCs w:val="24"/>
        </w:rPr>
        <w:t>(3d) 168, [2010] A</w:t>
      </w:r>
      <w:r w:rsidR="00DC22B6" w:rsidRPr="000A1160">
        <w:rPr>
          <w:szCs w:val="24"/>
        </w:rPr>
        <w:t>.</w:t>
      </w:r>
      <w:r w:rsidR="00075294" w:rsidRPr="000A1160">
        <w:rPr>
          <w:szCs w:val="24"/>
        </w:rPr>
        <w:t>C</w:t>
      </w:r>
      <w:r w:rsidR="00DC22B6" w:rsidRPr="000A1160">
        <w:rPr>
          <w:szCs w:val="24"/>
        </w:rPr>
        <w:t>.</w:t>
      </w:r>
      <w:r w:rsidR="00075294" w:rsidRPr="000A1160">
        <w:rPr>
          <w:szCs w:val="24"/>
        </w:rPr>
        <w:t>F</w:t>
      </w:r>
      <w:r w:rsidR="00186B92" w:rsidRPr="000A1160">
        <w:rPr>
          <w:szCs w:val="24"/>
        </w:rPr>
        <w:t xml:space="preserve">. </w:t>
      </w:r>
      <w:r w:rsidR="00075294" w:rsidRPr="000A1160">
        <w:rPr>
          <w:szCs w:val="24"/>
        </w:rPr>
        <w:t>n</w:t>
      </w:r>
      <w:r w:rsidR="00075294" w:rsidRPr="000A1160">
        <w:rPr>
          <w:szCs w:val="24"/>
          <w:vertAlign w:val="superscript"/>
        </w:rPr>
        <w:t>o</w:t>
      </w:r>
      <w:r w:rsidR="00075294" w:rsidRPr="000A1160">
        <w:rPr>
          <w:szCs w:val="24"/>
        </w:rPr>
        <w:t xml:space="preserve"> 1457 (QL), 2010 </w:t>
      </w:r>
      <w:proofErr w:type="spellStart"/>
      <w:r w:rsidR="00075294" w:rsidRPr="000A1160">
        <w:rPr>
          <w:szCs w:val="24"/>
        </w:rPr>
        <w:t>CarswellNat</w:t>
      </w:r>
      <w:proofErr w:type="spellEnd"/>
      <w:r w:rsidR="00075294" w:rsidRPr="000A1160">
        <w:rPr>
          <w:szCs w:val="24"/>
        </w:rPr>
        <w:t xml:space="preserve"> 5521</w:t>
      </w:r>
      <w:r w:rsidR="00292304" w:rsidRPr="000A1160">
        <w:rPr>
          <w:szCs w:val="24"/>
        </w:rPr>
        <w:t xml:space="preserve"> (</w:t>
      </w:r>
      <w:proofErr w:type="spellStart"/>
      <w:r w:rsidR="00292304" w:rsidRPr="000A1160">
        <w:rPr>
          <w:i/>
          <w:szCs w:val="24"/>
        </w:rPr>
        <w:t>sub</w:t>
      </w:r>
      <w:proofErr w:type="spellEnd"/>
      <w:r w:rsidR="00292304" w:rsidRPr="000A1160">
        <w:rPr>
          <w:i/>
          <w:szCs w:val="24"/>
        </w:rPr>
        <w:t xml:space="preserve"> nom</w:t>
      </w:r>
      <w:r w:rsidR="00186B92" w:rsidRPr="000A1160">
        <w:rPr>
          <w:i/>
          <w:szCs w:val="24"/>
        </w:rPr>
        <w:t xml:space="preserve">. </w:t>
      </w:r>
      <w:r w:rsidR="00292304" w:rsidRPr="000A1160">
        <w:rPr>
          <w:i/>
          <w:szCs w:val="24"/>
        </w:rPr>
        <w:t>St</w:t>
      </w:r>
      <w:r w:rsidR="00C817D6" w:rsidRPr="000A1160">
        <w:rPr>
          <w:i/>
          <w:szCs w:val="24"/>
        </w:rPr>
        <w:t>. </w:t>
      </w:r>
      <w:r w:rsidR="00292304" w:rsidRPr="000A1160">
        <w:rPr>
          <w:i/>
          <w:szCs w:val="24"/>
        </w:rPr>
        <w:t>Michael Trust Corp</w:t>
      </w:r>
      <w:r w:rsidR="00A34259" w:rsidRPr="000A1160">
        <w:rPr>
          <w:i/>
          <w:szCs w:val="24"/>
        </w:rPr>
        <w:t>.</w:t>
      </w:r>
      <w:r w:rsidR="00292304" w:rsidRPr="000A1160">
        <w:rPr>
          <w:i/>
          <w:szCs w:val="24"/>
        </w:rPr>
        <w:t xml:space="preserve"> c</w:t>
      </w:r>
      <w:r w:rsidR="00186B92" w:rsidRPr="000A1160">
        <w:rPr>
          <w:i/>
          <w:szCs w:val="24"/>
        </w:rPr>
        <w:t xml:space="preserve">. </w:t>
      </w:r>
      <w:proofErr w:type="spellStart"/>
      <w:r w:rsidR="00292304" w:rsidRPr="000A1160">
        <w:rPr>
          <w:i/>
          <w:szCs w:val="24"/>
        </w:rPr>
        <w:t>Minister</w:t>
      </w:r>
      <w:proofErr w:type="spellEnd"/>
      <w:r w:rsidR="00292304" w:rsidRPr="000A1160">
        <w:rPr>
          <w:i/>
          <w:szCs w:val="24"/>
        </w:rPr>
        <w:t xml:space="preserve"> of National Revenue</w:t>
      </w:r>
      <w:r w:rsidR="00292304" w:rsidRPr="000A1160">
        <w:rPr>
          <w:szCs w:val="24"/>
        </w:rPr>
        <w:t xml:space="preserve">; </w:t>
      </w:r>
      <w:r w:rsidR="00292304" w:rsidRPr="000A1160">
        <w:rPr>
          <w:i/>
          <w:szCs w:val="24"/>
        </w:rPr>
        <w:t xml:space="preserve">Fiducie familiale </w:t>
      </w:r>
      <w:proofErr w:type="spellStart"/>
      <w:r w:rsidR="00292304" w:rsidRPr="000A1160">
        <w:rPr>
          <w:i/>
          <w:szCs w:val="24"/>
        </w:rPr>
        <w:t>Ga</w:t>
      </w:r>
      <w:r w:rsidR="00DC22B6" w:rsidRPr="000A1160">
        <w:rPr>
          <w:i/>
          <w:szCs w:val="24"/>
        </w:rPr>
        <w:t>r</w:t>
      </w:r>
      <w:r w:rsidR="00292304" w:rsidRPr="000A1160">
        <w:rPr>
          <w:i/>
          <w:szCs w:val="24"/>
        </w:rPr>
        <w:t>ron</w:t>
      </w:r>
      <w:proofErr w:type="spellEnd"/>
      <w:r w:rsidR="00292304" w:rsidRPr="000A1160">
        <w:rPr>
          <w:i/>
          <w:szCs w:val="24"/>
        </w:rPr>
        <w:t xml:space="preserve"> c</w:t>
      </w:r>
      <w:r w:rsidR="00A34259" w:rsidRPr="000A1160">
        <w:rPr>
          <w:i/>
          <w:szCs w:val="24"/>
        </w:rPr>
        <w:t>.</w:t>
      </w:r>
      <w:r w:rsidR="00292304" w:rsidRPr="000A1160">
        <w:rPr>
          <w:i/>
          <w:szCs w:val="24"/>
        </w:rPr>
        <w:t xml:space="preserve"> La Reine</w:t>
      </w:r>
      <w:r w:rsidR="00292304" w:rsidRPr="000A1160">
        <w:rPr>
          <w:szCs w:val="24"/>
        </w:rPr>
        <w:t>)</w:t>
      </w:r>
      <w:r w:rsidR="00075294" w:rsidRPr="000A1160">
        <w:rPr>
          <w:szCs w:val="24"/>
        </w:rPr>
        <w:t xml:space="preserve">, qui a confirmé une décision de la juge </w:t>
      </w:r>
      <w:proofErr w:type="spellStart"/>
      <w:r w:rsidR="00075294" w:rsidRPr="000A1160">
        <w:rPr>
          <w:szCs w:val="24"/>
        </w:rPr>
        <w:t>Woods</w:t>
      </w:r>
      <w:proofErr w:type="spellEnd"/>
      <w:r w:rsidR="00075294" w:rsidRPr="000A1160">
        <w:rPr>
          <w:szCs w:val="24"/>
        </w:rPr>
        <w:t>, 2009 CC</w:t>
      </w:r>
      <w:r w:rsidR="00B441BC" w:rsidRPr="000A1160">
        <w:rPr>
          <w:szCs w:val="24"/>
        </w:rPr>
        <w:t>I</w:t>
      </w:r>
      <w:r w:rsidR="00075294" w:rsidRPr="000A1160">
        <w:rPr>
          <w:szCs w:val="24"/>
        </w:rPr>
        <w:t xml:space="preserve"> 450, [2010] 2 C</w:t>
      </w:r>
      <w:r w:rsidR="00DC22B6" w:rsidRPr="000A1160">
        <w:rPr>
          <w:szCs w:val="24"/>
        </w:rPr>
        <w:t>.</w:t>
      </w:r>
      <w:r w:rsidR="00075294" w:rsidRPr="000A1160">
        <w:rPr>
          <w:szCs w:val="24"/>
        </w:rPr>
        <w:t>T</w:t>
      </w:r>
      <w:r w:rsidR="00DC22B6" w:rsidRPr="000A1160">
        <w:rPr>
          <w:szCs w:val="24"/>
        </w:rPr>
        <w:t>.</w:t>
      </w:r>
      <w:r w:rsidR="00075294" w:rsidRPr="000A1160">
        <w:rPr>
          <w:szCs w:val="24"/>
        </w:rPr>
        <w:t>C</w:t>
      </w:r>
      <w:r w:rsidR="00186B92" w:rsidRPr="000A1160">
        <w:rPr>
          <w:szCs w:val="24"/>
        </w:rPr>
        <w:t xml:space="preserve">. </w:t>
      </w:r>
      <w:r w:rsidR="00075294" w:rsidRPr="000A1160">
        <w:rPr>
          <w:szCs w:val="24"/>
        </w:rPr>
        <w:t>2346</w:t>
      </w:r>
      <w:r w:rsidR="00DC22B6" w:rsidRPr="000A1160">
        <w:rPr>
          <w:szCs w:val="24"/>
        </w:rPr>
        <w:t>,</w:t>
      </w:r>
      <w:r w:rsidR="00075294" w:rsidRPr="000A1160">
        <w:rPr>
          <w:szCs w:val="24"/>
        </w:rPr>
        <w:t xml:space="preserve"> 2009 D</w:t>
      </w:r>
      <w:r w:rsidR="00DC22B6" w:rsidRPr="000A1160">
        <w:rPr>
          <w:szCs w:val="24"/>
        </w:rPr>
        <w:t>.</w:t>
      </w:r>
      <w:r w:rsidR="00075294" w:rsidRPr="000A1160">
        <w:rPr>
          <w:szCs w:val="24"/>
        </w:rPr>
        <w:t>T</w:t>
      </w:r>
      <w:r w:rsidR="00DC22B6" w:rsidRPr="000A1160">
        <w:rPr>
          <w:szCs w:val="24"/>
        </w:rPr>
        <w:t>.</w:t>
      </w:r>
      <w:r w:rsidR="00075294" w:rsidRPr="000A1160">
        <w:rPr>
          <w:szCs w:val="24"/>
        </w:rPr>
        <w:t>C</w:t>
      </w:r>
      <w:r w:rsidR="00186B92" w:rsidRPr="000A1160">
        <w:rPr>
          <w:szCs w:val="24"/>
        </w:rPr>
        <w:t xml:space="preserve">. </w:t>
      </w:r>
      <w:r w:rsidR="00DC22B6" w:rsidRPr="000A1160">
        <w:rPr>
          <w:szCs w:val="24"/>
        </w:rPr>
        <w:t>1287,</w:t>
      </w:r>
      <w:r w:rsidR="00075294" w:rsidRPr="000A1160">
        <w:rPr>
          <w:szCs w:val="24"/>
        </w:rPr>
        <w:t xml:space="preserve"> 50 E</w:t>
      </w:r>
      <w:r w:rsidR="00DC22B6" w:rsidRPr="000A1160">
        <w:rPr>
          <w:szCs w:val="24"/>
        </w:rPr>
        <w:t>.</w:t>
      </w:r>
      <w:r w:rsidR="00075294" w:rsidRPr="000A1160">
        <w:rPr>
          <w:szCs w:val="24"/>
        </w:rPr>
        <w:t>T</w:t>
      </w:r>
      <w:r w:rsidR="00DC22B6" w:rsidRPr="000A1160">
        <w:rPr>
          <w:szCs w:val="24"/>
        </w:rPr>
        <w:t>.</w:t>
      </w:r>
      <w:r w:rsidR="00075294" w:rsidRPr="000A1160">
        <w:rPr>
          <w:szCs w:val="24"/>
        </w:rPr>
        <w:t>R</w:t>
      </w:r>
      <w:r w:rsidR="00186B92" w:rsidRPr="000A1160">
        <w:rPr>
          <w:szCs w:val="24"/>
        </w:rPr>
        <w:t xml:space="preserve">. </w:t>
      </w:r>
      <w:r w:rsidR="00075294" w:rsidRPr="000A1160">
        <w:rPr>
          <w:szCs w:val="24"/>
        </w:rPr>
        <w:t xml:space="preserve">(3d) 241, [2009] </w:t>
      </w:r>
      <w:r w:rsidR="00B441BC" w:rsidRPr="000A1160">
        <w:rPr>
          <w:szCs w:val="24"/>
        </w:rPr>
        <w:t>A</w:t>
      </w:r>
      <w:r w:rsidR="00DC22B6" w:rsidRPr="000A1160">
        <w:rPr>
          <w:szCs w:val="24"/>
        </w:rPr>
        <w:t>.</w:t>
      </w:r>
      <w:r w:rsidR="00B441BC" w:rsidRPr="000A1160">
        <w:rPr>
          <w:szCs w:val="24"/>
        </w:rPr>
        <w:t>C</w:t>
      </w:r>
      <w:r w:rsidR="00DC22B6" w:rsidRPr="000A1160">
        <w:rPr>
          <w:szCs w:val="24"/>
        </w:rPr>
        <w:t>.</w:t>
      </w:r>
      <w:r w:rsidR="00B441BC" w:rsidRPr="000A1160">
        <w:rPr>
          <w:szCs w:val="24"/>
        </w:rPr>
        <w:t>I</w:t>
      </w:r>
      <w:r w:rsidR="00186B92" w:rsidRPr="000A1160">
        <w:rPr>
          <w:szCs w:val="24"/>
        </w:rPr>
        <w:t xml:space="preserve">. </w:t>
      </w:r>
      <w:r w:rsidR="00B441BC" w:rsidRPr="000A1160">
        <w:rPr>
          <w:szCs w:val="24"/>
        </w:rPr>
        <w:t>n</w:t>
      </w:r>
      <w:r w:rsidR="00075294" w:rsidRPr="000A1160">
        <w:rPr>
          <w:szCs w:val="24"/>
          <w:vertAlign w:val="superscript"/>
        </w:rPr>
        <w:t>o</w:t>
      </w:r>
      <w:r w:rsidR="00A34259" w:rsidRPr="000A1160">
        <w:rPr>
          <w:szCs w:val="24"/>
        </w:rPr>
        <w:t> </w:t>
      </w:r>
      <w:r w:rsidR="00075294" w:rsidRPr="000A1160">
        <w:rPr>
          <w:szCs w:val="24"/>
        </w:rPr>
        <w:t xml:space="preserve">345 (QL), 2009 </w:t>
      </w:r>
      <w:proofErr w:type="spellStart"/>
      <w:r w:rsidR="00075294" w:rsidRPr="000A1160">
        <w:rPr>
          <w:szCs w:val="24"/>
        </w:rPr>
        <w:t>CarswellNat</w:t>
      </w:r>
      <w:proofErr w:type="spellEnd"/>
      <w:r w:rsidR="00075294" w:rsidRPr="000A1160">
        <w:rPr>
          <w:szCs w:val="24"/>
        </w:rPr>
        <w:t xml:space="preserve"> </w:t>
      </w:r>
      <w:r w:rsidR="00B441BC" w:rsidRPr="000A1160">
        <w:rPr>
          <w:szCs w:val="24"/>
        </w:rPr>
        <w:t>5415</w:t>
      </w:r>
      <w:r w:rsidR="00292304" w:rsidRPr="000A1160">
        <w:rPr>
          <w:szCs w:val="24"/>
        </w:rPr>
        <w:t xml:space="preserve"> (</w:t>
      </w:r>
      <w:proofErr w:type="spellStart"/>
      <w:r w:rsidR="00292304" w:rsidRPr="000A1160">
        <w:rPr>
          <w:i/>
          <w:szCs w:val="24"/>
        </w:rPr>
        <w:t>sub</w:t>
      </w:r>
      <w:proofErr w:type="spellEnd"/>
      <w:r w:rsidR="00292304" w:rsidRPr="000A1160">
        <w:rPr>
          <w:i/>
          <w:szCs w:val="24"/>
        </w:rPr>
        <w:t xml:space="preserve"> nom</w:t>
      </w:r>
      <w:r w:rsidR="00186B92" w:rsidRPr="000A1160">
        <w:rPr>
          <w:i/>
          <w:szCs w:val="24"/>
        </w:rPr>
        <w:t xml:space="preserve">. </w:t>
      </w:r>
      <w:r w:rsidR="00292304" w:rsidRPr="000A1160">
        <w:rPr>
          <w:i/>
          <w:szCs w:val="24"/>
        </w:rPr>
        <w:t xml:space="preserve">Fiducie familiale </w:t>
      </w:r>
      <w:proofErr w:type="spellStart"/>
      <w:r w:rsidR="00292304" w:rsidRPr="000A1160">
        <w:rPr>
          <w:i/>
          <w:szCs w:val="24"/>
        </w:rPr>
        <w:t>Gar</w:t>
      </w:r>
      <w:r w:rsidR="00DC22B6" w:rsidRPr="000A1160">
        <w:rPr>
          <w:i/>
          <w:szCs w:val="24"/>
        </w:rPr>
        <w:t>r</w:t>
      </w:r>
      <w:r w:rsidR="00292304" w:rsidRPr="000A1160">
        <w:rPr>
          <w:i/>
          <w:szCs w:val="24"/>
        </w:rPr>
        <w:t>on</w:t>
      </w:r>
      <w:proofErr w:type="spellEnd"/>
      <w:r w:rsidR="00292304" w:rsidRPr="000A1160">
        <w:rPr>
          <w:i/>
          <w:szCs w:val="24"/>
        </w:rPr>
        <w:t xml:space="preserve"> c</w:t>
      </w:r>
      <w:r w:rsidR="00186B92" w:rsidRPr="000A1160">
        <w:rPr>
          <w:i/>
          <w:szCs w:val="24"/>
        </w:rPr>
        <w:t xml:space="preserve">. </w:t>
      </w:r>
      <w:r w:rsidR="00292304" w:rsidRPr="000A1160">
        <w:rPr>
          <w:i/>
          <w:szCs w:val="24"/>
        </w:rPr>
        <w:t>La Reine</w:t>
      </w:r>
      <w:r w:rsidR="00292304" w:rsidRPr="000A1160">
        <w:rPr>
          <w:szCs w:val="24"/>
        </w:rPr>
        <w:t>)</w:t>
      </w:r>
      <w:r w:rsidR="00A34259" w:rsidRPr="000A1160">
        <w:rPr>
          <w:szCs w:val="24"/>
        </w:rPr>
        <w:t>.</w:t>
      </w:r>
      <w:r w:rsidR="00B441BC" w:rsidRPr="000A1160">
        <w:rPr>
          <w:szCs w:val="24"/>
        </w:rPr>
        <w:t xml:space="preserve">  Pourvoi</w:t>
      </w:r>
      <w:r w:rsidR="008614F4" w:rsidRPr="000A1160">
        <w:rPr>
          <w:szCs w:val="24"/>
        </w:rPr>
        <w:t>s</w:t>
      </w:r>
      <w:r w:rsidR="00B441BC" w:rsidRPr="000A1160">
        <w:rPr>
          <w:szCs w:val="24"/>
        </w:rPr>
        <w:t xml:space="preserve"> rejeté</w:t>
      </w:r>
      <w:r w:rsidR="008614F4" w:rsidRPr="000A1160">
        <w:rPr>
          <w:szCs w:val="24"/>
        </w:rPr>
        <w:t>s</w:t>
      </w:r>
      <w:r w:rsidR="00186B92" w:rsidRPr="000A1160">
        <w:rPr>
          <w:szCs w:val="24"/>
        </w:rPr>
        <w:t xml:space="preserve">. </w:t>
      </w:r>
    </w:p>
    <w:p w:rsidR="005F1AB8" w:rsidRPr="000A1160" w:rsidRDefault="000674A8" w:rsidP="003427BD">
      <w:pPr>
        <w:pStyle w:val="SCCNormalDoubleSpacing"/>
        <w:spacing w:after="480"/>
        <w:rPr>
          <w:szCs w:val="24"/>
        </w:rPr>
      </w:pPr>
      <w:r w:rsidRPr="000A1160">
        <w:rPr>
          <w:rStyle w:val="SCCCounselNameChar"/>
          <w:szCs w:val="24"/>
        </w:rPr>
        <w:tab/>
        <w:t>Douglas </w:t>
      </w:r>
      <w:r w:rsidR="00BE0CE3" w:rsidRPr="000A1160">
        <w:rPr>
          <w:rStyle w:val="SCCCounselNameChar"/>
          <w:szCs w:val="24"/>
        </w:rPr>
        <w:t>H</w:t>
      </w:r>
      <w:r w:rsidR="00186B92" w:rsidRPr="000A1160">
        <w:rPr>
          <w:rStyle w:val="SCCCounselNameChar"/>
          <w:szCs w:val="24"/>
        </w:rPr>
        <w:t xml:space="preserve">. </w:t>
      </w:r>
      <w:proofErr w:type="spellStart"/>
      <w:r w:rsidR="00BE0CE3" w:rsidRPr="000A1160">
        <w:rPr>
          <w:rStyle w:val="SCCCounselNameChar"/>
          <w:szCs w:val="24"/>
        </w:rPr>
        <w:t>Mathew</w:t>
      </w:r>
      <w:proofErr w:type="spellEnd"/>
      <w:r w:rsidR="00BE0CE3" w:rsidRPr="000A1160">
        <w:rPr>
          <w:rStyle w:val="SCCCounselSeparatorChar"/>
          <w:szCs w:val="24"/>
        </w:rPr>
        <w:t xml:space="preserve">, </w:t>
      </w:r>
      <w:r w:rsidRPr="000A1160">
        <w:rPr>
          <w:rStyle w:val="SCCCounselNameChar"/>
          <w:szCs w:val="24"/>
        </w:rPr>
        <w:t>Matthew </w:t>
      </w:r>
      <w:r w:rsidR="00BE0CE3" w:rsidRPr="000A1160">
        <w:rPr>
          <w:rStyle w:val="SCCCounselNameChar"/>
          <w:szCs w:val="24"/>
        </w:rPr>
        <w:t>G</w:t>
      </w:r>
      <w:r w:rsidR="00186B92" w:rsidRPr="000A1160">
        <w:rPr>
          <w:rStyle w:val="SCCCounselNameChar"/>
          <w:szCs w:val="24"/>
        </w:rPr>
        <w:t xml:space="preserve">. </w:t>
      </w:r>
      <w:r w:rsidR="00BE0CE3" w:rsidRPr="000A1160">
        <w:rPr>
          <w:rStyle w:val="SCCCounselNameChar"/>
          <w:szCs w:val="24"/>
        </w:rPr>
        <w:t>Williams</w:t>
      </w:r>
      <w:r w:rsidR="00BE0CE3" w:rsidRPr="000A1160">
        <w:rPr>
          <w:rStyle w:val="SCCCounselSeparatorChar"/>
          <w:szCs w:val="24"/>
        </w:rPr>
        <w:t xml:space="preserve"> et </w:t>
      </w:r>
      <w:r w:rsidRPr="000A1160">
        <w:rPr>
          <w:rStyle w:val="SCCCounselNameChar"/>
          <w:szCs w:val="24"/>
        </w:rPr>
        <w:t>Mark </w:t>
      </w:r>
      <w:r w:rsidR="00BE0CE3" w:rsidRPr="000A1160">
        <w:rPr>
          <w:rStyle w:val="SCCCounselNameChar"/>
          <w:szCs w:val="24"/>
        </w:rPr>
        <w:t>A</w:t>
      </w:r>
      <w:r w:rsidR="00186B92" w:rsidRPr="000A1160">
        <w:rPr>
          <w:rStyle w:val="SCCCounselNameChar"/>
          <w:szCs w:val="24"/>
        </w:rPr>
        <w:t xml:space="preserve">. </w:t>
      </w:r>
      <w:proofErr w:type="spellStart"/>
      <w:r w:rsidR="00BE0CE3" w:rsidRPr="000A1160">
        <w:rPr>
          <w:rStyle w:val="SCCCounselNameChar"/>
          <w:szCs w:val="24"/>
        </w:rPr>
        <w:t>Barbour</w:t>
      </w:r>
      <w:proofErr w:type="spellEnd"/>
      <w:r w:rsidR="00BE0CE3" w:rsidRPr="000A1160">
        <w:rPr>
          <w:rStyle w:val="SCCCounselPartyRoleChar"/>
          <w:szCs w:val="24"/>
        </w:rPr>
        <w:t>, pour l</w:t>
      </w:r>
      <w:r w:rsidR="00F024BE" w:rsidRPr="000A1160">
        <w:rPr>
          <w:rStyle w:val="SCCCounselPartyRoleChar"/>
          <w:szCs w:val="24"/>
        </w:rPr>
        <w:t xml:space="preserve">es </w:t>
      </w:r>
      <w:r w:rsidR="00BE0CE3" w:rsidRPr="000A1160">
        <w:rPr>
          <w:rStyle w:val="SCCCounselPartyRoleChar"/>
          <w:szCs w:val="24"/>
        </w:rPr>
        <w:t>appelant</w:t>
      </w:r>
      <w:r w:rsidR="002B32FF" w:rsidRPr="000A1160">
        <w:rPr>
          <w:rStyle w:val="SCCCounselPartyRoleChar"/>
          <w:szCs w:val="24"/>
        </w:rPr>
        <w:t>e</w:t>
      </w:r>
      <w:r w:rsidR="00F024BE" w:rsidRPr="000A1160">
        <w:rPr>
          <w:rStyle w:val="SCCCounselPartyRoleChar"/>
          <w:szCs w:val="24"/>
        </w:rPr>
        <w:t>s</w:t>
      </w:r>
      <w:r w:rsidR="00186B92" w:rsidRPr="000A1160">
        <w:rPr>
          <w:rStyle w:val="SCCCounselPartyRoleChar"/>
          <w:szCs w:val="24"/>
        </w:rPr>
        <w:t xml:space="preserve">. </w:t>
      </w:r>
    </w:p>
    <w:p w:rsidR="005F1AB8" w:rsidRPr="000A1160" w:rsidRDefault="00BE0CE3" w:rsidP="004F639D">
      <w:pPr>
        <w:pStyle w:val="SCCNormalDoubleSpacing"/>
        <w:spacing w:after="480"/>
        <w:rPr>
          <w:rStyle w:val="SCCCounselPartyRoleChar"/>
          <w:szCs w:val="24"/>
        </w:rPr>
      </w:pPr>
      <w:r w:rsidRPr="000A1160">
        <w:rPr>
          <w:rStyle w:val="SCCCounselNameChar"/>
          <w:szCs w:val="24"/>
        </w:rPr>
        <w:tab/>
        <w:t>Anne</w:t>
      </w:r>
      <w:r w:rsidR="00DC22B6" w:rsidRPr="000A1160">
        <w:rPr>
          <w:rStyle w:val="SCCCounselNameChar"/>
          <w:szCs w:val="24"/>
        </w:rPr>
        <w:t xml:space="preserve"> M.</w:t>
      </w:r>
      <w:r w:rsidRPr="000A1160">
        <w:rPr>
          <w:rStyle w:val="SCCCounselNameChar"/>
          <w:szCs w:val="24"/>
        </w:rPr>
        <w:t xml:space="preserve"> </w:t>
      </w:r>
      <w:proofErr w:type="spellStart"/>
      <w:r w:rsidRPr="000A1160">
        <w:rPr>
          <w:rStyle w:val="SCCCounselNameChar"/>
          <w:szCs w:val="24"/>
        </w:rPr>
        <w:t>Turley</w:t>
      </w:r>
      <w:proofErr w:type="spellEnd"/>
      <w:r w:rsidR="002B32FF" w:rsidRPr="000A1160">
        <w:rPr>
          <w:rStyle w:val="SCCCounselNameChar"/>
          <w:szCs w:val="24"/>
        </w:rPr>
        <w:t xml:space="preserve"> </w:t>
      </w:r>
      <w:r w:rsidR="002B32FF" w:rsidRPr="000A1160">
        <w:rPr>
          <w:rStyle w:val="SCCCounselNameChar"/>
          <w:i w:val="0"/>
          <w:szCs w:val="24"/>
        </w:rPr>
        <w:t>et</w:t>
      </w:r>
      <w:r w:rsidRPr="000A1160">
        <w:rPr>
          <w:rStyle w:val="SCCCounselSeparatorChar"/>
          <w:szCs w:val="24"/>
        </w:rPr>
        <w:t xml:space="preserve"> </w:t>
      </w:r>
      <w:r w:rsidRPr="000A1160">
        <w:rPr>
          <w:rStyle w:val="SCCCounselNameChar"/>
          <w:szCs w:val="24"/>
        </w:rPr>
        <w:t>Daniel Bourgeois</w:t>
      </w:r>
      <w:r w:rsidRPr="000A1160">
        <w:rPr>
          <w:rStyle w:val="SCCCounselPartyRoleChar"/>
          <w:szCs w:val="24"/>
        </w:rPr>
        <w:t>, pour l</w:t>
      </w:r>
      <w:r w:rsidR="00651C6C" w:rsidRPr="000A1160">
        <w:rPr>
          <w:rStyle w:val="SCCCounselPartyRoleChar"/>
          <w:szCs w:val="24"/>
        </w:rPr>
        <w:t>’</w:t>
      </w:r>
      <w:r w:rsidRPr="000A1160">
        <w:rPr>
          <w:rStyle w:val="SCCCounselPartyRoleChar"/>
          <w:szCs w:val="24"/>
        </w:rPr>
        <w:t>intimée</w:t>
      </w:r>
      <w:r w:rsidR="00186B92" w:rsidRPr="000A1160">
        <w:rPr>
          <w:rStyle w:val="SCCCounselPartyRoleChar"/>
          <w:szCs w:val="24"/>
        </w:rPr>
        <w:t xml:space="preserve">. </w:t>
      </w:r>
    </w:p>
    <w:p w:rsidR="00DC22B6" w:rsidRPr="000A1160" w:rsidRDefault="00DC22B6" w:rsidP="004F639D">
      <w:pPr>
        <w:pStyle w:val="SCCNormalDoubleSpacing"/>
        <w:spacing w:after="480"/>
        <w:rPr>
          <w:rStyle w:val="SCCCounselPartyRoleChar"/>
          <w:szCs w:val="24"/>
        </w:rPr>
      </w:pPr>
      <w:r w:rsidRPr="000A1160">
        <w:rPr>
          <w:rStyle w:val="SCCCounselPartyRoleChar"/>
          <w:szCs w:val="24"/>
        </w:rPr>
        <w:tab/>
        <w:t>Version française du jugement rendu par</w:t>
      </w:r>
    </w:p>
    <w:p w:rsidR="004F639D" w:rsidRPr="000A1160" w:rsidRDefault="00DC22B6" w:rsidP="004F639D">
      <w:pPr>
        <w:pStyle w:val="ParaNoNdepar-AltN"/>
        <w:rPr>
          <w:rFonts w:cs="Times New Roman"/>
          <w:szCs w:val="24"/>
          <w:lang w:val="fr-FR"/>
        </w:rPr>
      </w:pPr>
      <w:r w:rsidRPr="000A1160">
        <w:rPr>
          <w:smallCaps/>
          <w:szCs w:val="24"/>
          <w:lang w:val="fr-CA"/>
        </w:rPr>
        <w:t>La Cour</w:t>
      </w:r>
      <w:r w:rsidRPr="000A1160">
        <w:rPr>
          <w:szCs w:val="24"/>
          <w:lang w:val="fr-CA"/>
        </w:rPr>
        <w:t xml:space="preserve"> — </w:t>
      </w:r>
      <w:r w:rsidR="004F639D" w:rsidRPr="000A1160">
        <w:rPr>
          <w:rFonts w:cs="Times New Roman"/>
          <w:szCs w:val="24"/>
          <w:lang w:val="fr-FR"/>
        </w:rPr>
        <w:t xml:space="preserve">St. Michael Trust Corp. (« St. Michael ») est fiduciaire de deux fiducies, Fundy </w:t>
      </w:r>
      <w:proofErr w:type="spellStart"/>
      <w:r w:rsidR="004F639D" w:rsidRPr="000A1160">
        <w:rPr>
          <w:rFonts w:cs="Times New Roman"/>
          <w:szCs w:val="24"/>
          <w:lang w:val="fr-FR"/>
        </w:rPr>
        <w:t>Settlement</w:t>
      </w:r>
      <w:proofErr w:type="spellEnd"/>
      <w:r w:rsidR="004F639D" w:rsidRPr="000A1160">
        <w:rPr>
          <w:rFonts w:cs="Times New Roman"/>
          <w:szCs w:val="24"/>
          <w:lang w:val="fr-FR"/>
        </w:rPr>
        <w:t xml:space="preserve"> et </w:t>
      </w:r>
      <w:proofErr w:type="spellStart"/>
      <w:r w:rsidR="004F639D" w:rsidRPr="000A1160">
        <w:rPr>
          <w:rFonts w:cs="Times New Roman"/>
          <w:szCs w:val="24"/>
          <w:lang w:val="fr-FR"/>
        </w:rPr>
        <w:t>Summersby</w:t>
      </w:r>
      <w:proofErr w:type="spellEnd"/>
      <w:r w:rsidR="004F639D" w:rsidRPr="000A1160">
        <w:rPr>
          <w:rFonts w:cs="Times New Roman"/>
          <w:szCs w:val="24"/>
          <w:lang w:val="fr-FR"/>
        </w:rPr>
        <w:t xml:space="preserve"> </w:t>
      </w:r>
      <w:proofErr w:type="spellStart"/>
      <w:r w:rsidR="004F639D" w:rsidRPr="000A1160">
        <w:rPr>
          <w:rFonts w:cs="Times New Roman"/>
          <w:szCs w:val="24"/>
          <w:lang w:val="fr-FR"/>
        </w:rPr>
        <w:t>Settlement</w:t>
      </w:r>
      <w:proofErr w:type="spellEnd"/>
      <w:r w:rsidR="004F639D" w:rsidRPr="000A1160">
        <w:rPr>
          <w:rFonts w:cs="Times New Roman"/>
          <w:szCs w:val="24"/>
          <w:lang w:val="fr-FR"/>
        </w:rPr>
        <w:t xml:space="preserve"> (les « fiducies en cause »).  Ces dernières ont été constituées par un particulier résidant à </w:t>
      </w:r>
      <w:proofErr w:type="spellStart"/>
      <w:r w:rsidR="004F639D" w:rsidRPr="000A1160">
        <w:rPr>
          <w:rFonts w:cs="Times New Roman"/>
          <w:szCs w:val="24"/>
          <w:lang w:val="fr-FR"/>
        </w:rPr>
        <w:t>Saint</w:t>
      </w:r>
      <w:r w:rsidR="004F639D" w:rsidRPr="000A1160">
        <w:rPr>
          <w:rFonts w:cs="Times New Roman"/>
          <w:szCs w:val="24"/>
          <w:lang w:val="fr-FR"/>
        </w:rPr>
        <w:noBreakHyphen/>
        <w:t>Vincent</w:t>
      </w:r>
      <w:proofErr w:type="spellEnd"/>
      <w:r w:rsidR="004F639D" w:rsidRPr="000A1160">
        <w:rPr>
          <w:rFonts w:cs="Times New Roman"/>
          <w:szCs w:val="24"/>
          <w:lang w:val="fr-FR"/>
        </w:rPr>
        <w:t xml:space="preserve">, dans les </w:t>
      </w:r>
      <w:r w:rsidR="004F639D" w:rsidRPr="000A1160">
        <w:rPr>
          <w:rFonts w:cs="Times New Roman"/>
          <w:szCs w:val="24"/>
          <w:lang w:val="fr-FR"/>
        </w:rPr>
        <w:lastRenderedPageBreak/>
        <w:t>Antilles.  Les bénéficiaires sont des résidents du Canada.  Pour sa part, St. Michael</w:t>
      </w:r>
      <w:r w:rsidR="004F639D" w:rsidRPr="000A1160" w:rsidDel="00E77F87">
        <w:rPr>
          <w:rFonts w:cs="Times New Roman"/>
          <w:szCs w:val="24"/>
          <w:lang w:val="fr-FR"/>
        </w:rPr>
        <w:t xml:space="preserve"> </w:t>
      </w:r>
      <w:r w:rsidR="004F639D" w:rsidRPr="000A1160">
        <w:rPr>
          <w:rFonts w:cs="Times New Roman"/>
          <w:szCs w:val="24"/>
          <w:lang w:val="fr-FR"/>
        </w:rPr>
        <w:t>e</w:t>
      </w:r>
      <w:r w:rsidR="004F639D" w:rsidRPr="000A1160" w:rsidDel="00E77F87">
        <w:rPr>
          <w:rFonts w:cs="Times New Roman"/>
          <w:szCs w:val="24"/>
          <w:lang w:val="fr-FR"/>
        </w:rPr>
        <w:t>s</w:t>
      </w:r>
      <w:r w:rsidR="004F639D" w:rsidRPr="000A1160">
        <w:rPr>
          <w:rFonts w:cs="Times New Roman"/>
          <w:szCs w:val="24"/>
          <w:lang w:val="fr-FR"/>
        </w:rPr>
        <w:t xml:space="preserve">t une société résidant à la </w:t>
      </w:r>
      <w:r w:rsidR="004F639D" w:rsidRPr="000A1160" w:rsidDel="00E77F87">
        <w:rPr>
          <w:rFonts w:cs="Times New Roman"/>
          <w:szCs w:val="24"/>
          <w:lang w:val="fr-FR"/>
        </w:rPr>
        <w:t>Barbad</w:t>
      </w:r>
      <w:r w:rsidR="004F639D" w:rsidRPr="000A1160">
        <w:rPr>
          <w:rFonts w:cs="Times New Roman"/>
          <w:szCs w:val="24"/>
          <w:lang w:val="fr-FR"/>
        </w:rPr>
        <w:t>e</w:t>
      </w:r>
      <w:r w:rsidR="004F639D" w:rsidRPr="000A1160" w:rsidDel="00E77F87">
        <w:rPr>
          <w:rFonts w:cs="Times New Roman"/>
          <w:szCs w:val="24"/>
          <w:lang w:val="fr-FR"/>
        </w:rPr>
        <w:t>.</w:t>
      </w:r>
    </w:p>
    <w:p w:rsidR="004F639D" w:rsidRPr="000A1160" w:rsidRDefault="004F639D" w:rsidP="004F639D">
      <w:pPr>
        <w:pStyle w:val="ParaNoNdepar-AltN"/>
        <w:rPr>
          <w:rFonts w:cs="Times New Roman"/>
          <w:szCs w:val="24"/>
          <w:lang w:val="fr-FR"/>
        </w:rPr>
      </w:pPr>
      <w:r w:rsidRPr="000A1160">
        <w:rPr>
          <w:rFonts w:cs="Times New Roman"/>
          <w:szCs w:val="24"/>
          <w:lang w:val="fr-FR"/>
        </w:rPr>
        <w:t>Lorsque les fiducies en cause ont disposé des actions qu’elles détenaient dans deux sociétés ontariennes, l’acheteur a versé quelque 152 millions de dollars au ministre du Revenu national au titre de l’impôt canadien retenu sur les gains en capital réalisés par les fiducies en cause à l’occasion de la vente des actions.</w:t>
      </w:r>
    </w:p>
    <w:p w:rsidR="004F639D" w:rsidRPr="000A1160" w:rsidRDefault="004F639D" w:rsidP="004F639D">
      <w:pPr>
        <w:pStyle w:val="ParaNoNdepar-AltN"/>
        <w:autoSpaceDE w:val="0"/>
        <w:autoSpaceDN w:val="0"/>
        <w:adjustRightInd w:val="0"/>
        <w:rPr>
          <w:rFonts w:cs="Times New Roman"/>
          <w:szCs w:val="24"/>
          <w:lang w:val="fr-FR"/>
        </w:rPr>
      </w:pPr>
      <w:r w:rsidRPr="000A1160">
        <w:rPr>
          <w:rFonts w:cs="Times New Roman"/>
          <w:szCs w:val="24"/>
          <w:lang w:val="fr-FR"/>
        </w:rPr>
        <w:t>St. Michael a demandé le remboursement de la somme ainsi retenue, invoquant l’exonération de l’impôt canadien sur les gains en capital prévue par l’</w:t>
      </w:r>
      <w:r w:rsidRPr="000A1160">
        <w:rPr>
          <w:rFonts w:cs="Times New Roman"/>
          <w:i/>
          <w:szCs w:val="24"/>
          <w:lang w:val="fr-FR"/>
        </w:rPr>
        <w:t xml:space="preserve">Accord entre le </w:t>
      </w:r>
      <w:r w:rsidRPr="000A1160">
        <w:rPr>
          <w:rFonts w:cs="Times New Roman"/>
          <w:i/>
          <w:iCs/>
          <w:szCs w:val="24"/>
          <w:lang w:val="fr-FR"/>
        </w:rPr>
        <w:t>Canada et la Barbade tendant à éviter les doubles impositions et à prévenir l’évasion fiscale en matière d’impôts sur le revenu et sur la fortune</w:t>
      </w:r>
      <w:r w:rsidRPr="000A1160">
        <w:rPr>
          <w:rFonts w:cs="Times New Roman"/>
          <w:iCs/>
          <w:szCs w:val="24"/>
          <w:lang w:val="fr-FR"/>
        </w:rPr>
        <w:t xml:space="preserve">, R.T. Can. </w:t>
      </w:r>
      <w:proofErr w:type="gramStart"/>
      <w:r w:rsidRPr="000A1160">
        <w:rPr>
          <w:rFonts w:cs="Times New Roman"/>
          <w:iCs/>
          <w:szCs w:val="24"/>
          <w:lang w:val="fr-FR"/>
        </w:rPr>
        <w:t>1980 n</w:t>
      </w:r>
      <w:r w:rsidRPr="000A1160">
        <w:rPr>
          <w:rFonts w:cs="Times New Roman"/>
          <w:iCs/>
          <w:szCs w:val="24"/>
          <w:vertAlign w:val="superscript"/>
          <w:lang w:val="fr-FR"/>
        </w:rPr>
        <w:t>o</w:t>
      </w:r>
      <w:r w:rsidRPr="000A1160">
        <w:rPr>
          <w:rFonts w:cs="Times New Roman"/>
          <w:iCs/>
          <w:szCs w:val="24"/>
          <w:lang w:val="fr-FR"/>
        </w:rPr>
        <w:t xml:space="preserve"> 29 (incorporé au droit canadien par la </w:t>
      </w:r>
      <w:r w:rsidRPr="000A1160">
        <w:rPr>
          <w:rFonts w:cs="Times New Roman"/>
          <w:i/>
          <w:iCs/>
          <w:szCs w:val="24"/>
          <w:lang w:val="fr-FR"/>
        </w:rPr>
        <w:t>Loi de 1980 sur l’</w:t>
      </w:r>
      <w:r w:rsidR="00DC22B6" w:rsidRPr="000A1160">
        <w:rPr>
          <w:rFonts w:cs="Times New Roman"/>
          <w:i/>
          <w:szCs w:val="24"/>
          <w:lang w:val="fr-FR"/>
        </w:rPr>
        <w:t xml:space="preserve">Accord </w:t>
      </w:r>
      <w:proofErr w:type="gramEnd"/>
      <w:r w:rsidR="00DC22B6" w:rsidRPr="000A1160">
        <w:rPr>
          <w:rFonts w:cs="Times New Roman"/>
          <w:i/>
          <w:szCs w:val="24"/>
          <w:lang w:val="fr-FR"/>
        </w:rPr>
        <w:t xml:space="preserve"> Canada-</w:t>
      </w:r>
      <w:r w:rsidRPr="000A1160">
        <w:rPr>
          <w:rFonts w:cs="Times New Roman"/>
          <w:i/>
          <w:szCs w:val="24"/>
          <w:lang w:val="fr-FR"/>
        </w:rPr>
        <w:t>Barbade en matière d’impôt sur le revenu</w:t>
      </w:r>
      <w:r w:rsidRPr="000A1160">
        <w:rPr>
          <w:rFonts w:cs="Times New Roman"/>
          <w:szCs w:val="24"/>
          <w:lang w:val="fr-FR"/>
        </w:rPr>
        <w:t>, L.C. 1980</w:t>
      </w:r>
      <w:r w:rsidRPr="000A1160">
        <w:rPr>
          <w:rFonts w:cs="Times New Roman"/>
          <w:szCs w:val="24"/>
          <w:lang w:val="fr-FR"/>
        </w:rPr>
        <w:noBreakHyphen/>
        <w:t>81</w:t>
      </w:r>
      <w:r w:rsidRPr="000A1160">
        <w:rPr>
          <w:rFonts w:cs="Times New Roman"/>
          <w:szCs w:val="24"/>
          <w:lang w:val="fr-FR"/>
        </w:rPr>
        <w:noBreakHyphen/>
        <w:t>82</w:t>
      </w:r>
      <w:r w:rsidRPr="000A1160">
        <w:rPr>
          <w:rFonts w:cs="Times New Roman"/>
          <w:szCs w:val="24"/>
          <w:lang w:val="fr-FR"/>
        </w:rPr>
        <w:noBreakHyphen/>
        <w:t>83, ch. 44, art. 25).  Selon le traité, l’impôt n’est payable que dans le pays où réside le vendeur.  St. Michael a prétendu que, comme elle est un résident de la Barbade, les fiducies en cause y résident également.  Par conséquent, rien ne justifierait une retenue d’impôt au Canada.</w:t>
      </w:r>
    </w:p>
    <w:p w:rsidR="004F639D" w:rsidRPr="000A1160" w:rsidRDefault="004F639D" w:rsidP="004F639D">
      <w:pPr>
        <w:pStyle w:val="ParaNoNdepar-AltN"/>
        <w:rPr>
          <w:rFonts w:cs="Times New Roman"/>
          <w:szCs w:val="24"/>
          <w:lang w:val="fr-FR"/>
        </w:rPr>
      </w:pPr>
      <w:r w:rsidRPr="000A1160">
        <w:rPr>
          <w:rFonts w:cs="Times New Roman"/>
          <w:szCs w:val="24"/>
          <w:lang w:val="fr-FR"/>
        </w:rPr>
        <w:t>De l’avis du ministre du Revenu national, les fiducies en cause sont des résidents du Canada et l’impôt retenu était à bon droit payable.</w:t>
      </w:r>
    </w:p>
    <w:p w:rsidR="004F639D" w:rsidRPr="000A1160" w:rsidRDefault="004F639D" w:rsidP="004F639D">
      <w:pPr>
        <w:pStyle w:val="ParaNoNdepar-AltN"/>
        <w:rPr>
          <w:rFonts w:cs="Times New Roman"/>
          <w:szCs w:val="24"/>
          <w:lang w:val="fr-FR"/>
        </w:rPr>
      </w:pPr>
      <w:r w:rsidRPr="000A1160">
        <w:rPr>
          <w:rFonts w:cs="Times New Roman"/>
          <w:szCs w:val="24"/>
          <w:lang w:val="fr-FR"/>
        </w:rPr>
        <w:lastRenderedPageBreak/>
        <w:t>Les appels interjetés par St. Michael contre la nouvelle cotisation du ministre à la Cour canadienne de l’impôt d’abord (2009 CC1 450</w:t>
      </w:r>
      <w:r w:rsidR="00305D2B">
        <w:rPr>
          <w:rFonts w:cs="Times New Roman"/>
          <w:szCs w:val="24"/>
          <w:lang w:val="fr-FR"/>
        </w:rPr>
        <w:t xml:space="preserve"> (</w:t>
      </w:r>
      <w:proofErr w:type="spellStart"/>
      <w:r w:rsidR="00305D2B">
        <w:rPr>
          <w:rFonts w:cs="Times New Roman"/>
          <w:szCs w:val="24"/>
          <w:lang w:val="fr-FR"/>
        </w:rPr>
        <w:t>CanLII</w:t>
      </w:r>
      <w:proofErr w:type="spellEnd"/>
      <w:r w:rsidR="00305D2B">
        <w:rPr>
          <w:rFonts w:cs="Times New Roman"/>
          <w:szCs w:val="24"/>
          <w:lang w:val="fr-FR"/>
        </w:rPr>
        <w:t>)</w:t>
      </w:r>
      <w:r w:rsidRPr="000A1160">
        <w:rPr>
          <w:rFonts w:cs="Times New Roman"/>
          <w:szCs w:val="24"/>
          <w:lang w:val="fr-FR"/>
        </w:rPr>
        <w:t>), puis à la Cour d’appel fédérale (2010 CAF 30</w:t>
      </w:r>
      <w:r w:rsidR="00DC22B6" w:rsidRPr="000A1160">
        <w:rPr>
          <w:rFonts w:cs="Times New Roman"/>
          <w:szCs w:val="24"/>
          <w:lang w:val="fr-FR"/>
        </w:rPr>
        <w:t>9</w:t>
      </w:r>
      <w:r w:rsidR="00305D2B">
        <w:rPr>
          <w:rFonts w:cs="Times New Roman"/>
          <w:szCs w:val="24"/>
          <w:lang w:val="fr-FR"/>
        </w:rPr>
        <w:t xml:space="preserve"> (</w:t>
      </w:r>
      <w:proofErr w:type="spellStart"/>
      <w:r w:rsidR="00305D2B">
        <w:rPr>
          <w:rFonts w:cs="Times New Roman"/>
          <w:szCs w:val="24"/>
          <w:lang w:val="fr-FR"/>
        </w:rPr>
        <w:t>CanLII</w:t>
      </w:r>
      <w:proofErr w:type="spellEnd"/>
      <w:r w:rsidR="00305D2B">
        <w:rPr>
          <w:rFonts w:cs="Times New Roman"/>
          <w:szCs w:val="24"/>
          <w:lang w:val="fr-FR"/>
        </w:rPr>
        <w:t>)</w:t>
      </w:r>
      <w:r w:rsidRPr="000A1160">
        <w:rPr>
          <w:rFonts w:cs="Times New Roman"/>
          <w:szCs w:val="24"/>
          <w:lang w:val="fr-FR"/>
        </w:rPr>
        <w:t>), ont été rejetés.  St. Michael a par la suite obtenu l’autorisation de se pourvoir devant notre Cour.</w:t>
      </w:r>
    </w:p>
    <w:p w:rsidR="004F639D" w:rsidRPr="000A1160" w:rsidRDefault="004F639D" w:rsidP="004F639D">
      <w:pPr>
        <w:pStyle w:val="ParaNoNdepar-AltN"/>
        <w:rPr>
          <w:rFonts w:cs="Times New Roman"/>
          <w:szCs w:val="24"/>
          <w:lang w:val="fr-FR"/>
        </w:rPr>
      </w:pPr>
      <w:r w:rsidRPr="000A1160">
        <w:rPr>
          <w:rFonts w:cs="Times New Roman"/>
          <w:szCs w:val="24"/>
          <w:lang w:val="fr-FR"/>
        </w:rPr>
        <w:t xml:space="preserve">La question en litige est le lieu de résidence des fiducies en cause.  St. Michael affirme que ces dernières résident au même endroit qu’elle, en l’occurrence la Barbade.  Pour sa part, le ministre prétend que les fiducies en cause résident au Canada, parce que leur gestion centrale et leur contrôle sont exercés par les bénéficiaires principaux, qui sont des résidents du Canada.  Suivant les faits constatés par la juge </w:t>
      </w:r>
      <w:proofErr w:type="spellStart"/>
      <w:r w:rsidRPr="000A1160">
        <w:rPr>
          <w:rFonts w:cs="Times New Roman"/>
          <w:szCs w:val="24"/>
          <w:lang w:val="fr-FR"/>
        </w:rPr>
        <w:t>Woods</w:t>
      </w:r>
      <w:proofErr w:type="spellEnd"/>
      <w:r w:rsidRPr="000A1160">
        <w:rPr>
          <w:rFonts w:cs="Times New Roman"/>
          <w:szCs w:val="24"/>
          <w:lang w:val="fr-FR"/>
        </w:rPr>
        <w:t xml:space="preserve"> de la Cour canadienne de l’impôt, St. Michael est résidente de la Barbade alors que la gestion centrale et le contrôle des fiducies en cause sont exercés au Canada par les bénéficiaires principaux de </w:t>
      </w:r>
      <w:proofErr w:type="spellStart"/>
      <w:r w:rsidRPr="000A1160">
        <w:rPr>
          <w:rFonts w:cs="Times New Roman"/>
          <w:szCs w:val="24"/>
          <w:lang w:val="fr-FR"/>
        </w:rPr>
        <w:t>celles</w:t>
      </w:r>
      <w:r w:rsidRPr="000A1160">
        <w:rPr>
          <w:rFonts w:cs="Times New Roman"/>
          <w:szCs w:val="24"/>
          <w:lang w:val="fr-FR"/>
        </w:rPr>
        <w:noBreakHyphen/>
        <w:t>ci</w:t>
      </w:r>
      <w:proofErr w:type="spellEnd"/>
      <w:r w:rsidRPr="000A1160">
        <w:rPr>
          <w:rFonts w:cs="Times New Roman"/>
          <w:szCs w:val="24"/>
          <w:lang w:val="fr-FR"/>
        </w:rPr>
        <w:t xml:space="preserve">. </w:t>
      </w:r>
    </w:p>
    <w:p w:rsidR="004F639D" w:rsidRPr="000A1160" w:rsidRDefault="004F639D" w:rsidP="004F639D">
      <w:pPr>
        <w:pStyle w:val="ParaNoNdepar-AltN"/>
        <w:rPr>
          <w:rFonts w:cs="Times New Roman"/>
          <w:szCs w:val="24"/>
          <w:lang w:val="fr-FR"/>
        </w:rPr>
      </w:pPr>
      <w:r w:rsidRPr="000A1160">
        <w:rPr>
          <w:rFonts w:cs="Times New Roman"/>
          <w:szCs w:val="24"/>
          <w:lang w:val="fr-FR"/>
        </w:rPr>
        <w:t xml:space="preserve">Comme l’a expliqué la juge </w:t>
      </w:r>
      <w:proofErr w:type="spellStart"/>
      <w:r w:rsidRPr="000A1160">
        <w:rPr>
          <w:rFonts w:cs="Times New Roman"/>
          <w:szCs w:val="24"/>
          <w:lang w:val="fr-FR"/>
        </w:rPr>
        <w:t>Sharlow</w:t>
      </w:r>
      <w:proofErr w:type="spellEnd"/>
      <w:r w:rsidRPr="000A1160">
        <w:rPr>
          <w:rFonts w:cs="Times New Roman"/>
          <w:szCs w:val="24"/>
          <w:lang w:val="fr-FR"/>
        </w:rPr>
        <w:t xml:space="preserve"> de la Cour d’appel fédérale, le lieu de résidence constitue le fondement principal de l’imposition du revenu au Canada (par. 52).  Dans </w:t>
      </w:r>
      <w:r w:rsidRPr="000A1160">
        <w:rPr>
          <w:rFonts w:cs="Times New Roman"/>
          <w:i/>
          <w:iCs/>
          <w:szCs w:val="24"/>
          <w:lang w:val="fr-FR"/>
        </w:rPr>
        <w:t xml:space="preserve">The Fundamentals of </w:t>
      </w:r>
      <w:proofErr w:type="spellStart"/>
      <w:r w:rsidRPr="000A1160">
        <w:rPr>
          <w:rFonts w:cs="Times New Roman"/>
          <w:i/>
          <w:iCs/>
          <w:szCs w:val="24"/>
          <w:lang w:val="fr-FR"/>
        </w:rPr>
        <w:t>Income</w:t>
      </w:r>
      <w:proofErr w:type="spellEnd"/>
      <w:r w:rsidRPr="000A1160">
        <w:rPr>
          <w:rFonts w:cs="Times New Roman"/>
          <w:i/>
          <w:iCs/>
          <w:szCs w:val="24"/>
          <w:lang w:val="fr-FR"/>
        </w:rPr>
        <w:t xml:space="preserve"> </w:t>
      </w:r>
      <w:proofErr w:type="spellStart"/>
      <w:r w:rsidRPr="000A1160">
        <w:rPr>
          <w:rFonts w:cs="Times New Roman"/>
          <w:i/>
          <w:iCs/>
          <w:szCs w:val="24"/>
          <w:lang w:val="fr-FR"/>
        </w:rPr>
        <w:t>Tax</w:t>
      </w:r>
      <w:proofErr w:type="spellEnd"/>
      <w:r w:rsidRPr="000A1160">
        <w:rPr>
          <w:rFonts w:cs="Times New Roman"/>
          <w:i/>
          <w:iCs/>
          <w:szCs w:val="24"/>
          <w:lang w:val="fr-FR"/>
        </w:rPr>
        <w:t xml:space="preserve"> Law </w:t>
      </w:r>
      <w:r w:rsidRPr="000A1160">
        <w:rPr>
          <w:rFonts w:cs="Times New Roman"/>
          <w:iCs/>
          <w:szCs w:val="24"/>
          <w:lang w:val="fr-FR"/>
        </w:rPr>
        <w:t>(</w:t>
      </w:r>
      <w:r w:rsidRPr="000A1160">
        <w:rPr>
          <w:rFonts w:cs="Times New Roman"/>
          <w:szCs w:val="24"/>
          <w:lang w:val="fr-FR"/>
        </w:rPr>
        <w:t xml:space="preserve">2009), p. 85, le professeur V. Krishna souligne que la considération d’intérêt général à la base de ce principe est de faire en sorte que les personnes qui jouissent des avantages juridiques, politiques et économiques découlant de leur association avec le Canada paient leur juste part des coûts de cette association.  Dans le cas des particuliers, un certain nombre de facteurs, entre autres la nationalité, la présence physique, le lieu du domicile familial et les relations sociales, sont pris en considération pour déterminer leur lieu de résidence.  </w:t>
      </w:r>
      <w:r w:rsidRPr="000A1160">
        <w:rPr>
          <w:rFonts w:cs="Times New Roman"/>
          <w:szCs w:val="24"/>
          <w:lang w:val="fr-FR"/>
        </w:rPr>
        <w:lastRenderedPageBreak/>
        <w:t xml:space="preserve">Quoique la </w:t>
      </w:r>
      <w:r w:rsidRPr="000A1160">
        <w:rPr>
          <w:rFonts w:cs="Times New Roman"/>
          <w:i/>
          <w:szCs w:val="24"/>
          <w:lang w:val="fr-FR"/>
        </w:rPr>
        <w:t>Loi de l’impôt</w:t>
      </w:r>
      <w:r w:rsidRPr="000A1160">
        <w:rPr>
          <w:rFonts w:cs="Times New Roman"/>
          <w:szCs w:val="24"/>
          <w:lang w:val="fr-FR"/>
        </w:rPr>
        <w:t xml:space="preserve"> </w:t>
      </w:r>
      <w:r w:rsidRPr="000A1160">
        <w:rPr>
          <w:rFonts w:cs="Times New Roman"/>
          <w:i/>
          <w:szCs w:val="24"/>
          <w:lang w:val="fr-FR"/>
        </w:rPr>
        <w:t>sur le revenu</w:t>
      </w:r>
      <w:r w:rsidRPr="000A1160">
        <w:rPr>
          <w:rFonts w:cs="Times New Roman"/>
          <w:szCs w:val="24"/>
          <w:lang w:val="fr-FR"/>
        </w:rPr>
        <w:t>, L.R.C. 1985, ch. 1 (5</w:t>
      </w:r>
      <w:r w:rsidRPr="000A1160">
        <w:rPr>
          <w:rFonts w:cs="Times New Roman"/>
          <w:szCs w:val="24"/>
          <w:vertAlign w:val="superscript"/>
          <w:lang w:val="fr-FR"/>
        </w:rPr>
        <w:t>e</w:t>
      </w:r>
      <w:r w:rsidRPr="000A1160">
        <w:rPr>
          <w:rFonts w:cs="Times New Roman"/>
          <w:szCs w:val="24"/>
          <w:lang w:val="fr-FR"/>
        </w:rPr>
        <w:t xml:space="preserve"> suppl.) (la « Loi »)</w:t>
      </w:r>
      <w:r w:rsidR="00305D2B">
        <w:rPr>
          <w:rFonts w:cs="Times New Roman"/>
          <w:szCs w:val="24"/>
          <w:lang w:val="fr-FR"/>
        </w:rPr>
        <w:t>,</w:t>
      </w:r>
      <w:r w:rsidRPr="000A1160">
        <w:rPr>
          <w:rFonts w:cs="Times New Roman"/>
          <w:szCs w:val="24"/>
          <w:lang w:val="fr-FR"/>
        </w:rPr>
        <w:t xml:space="preserve"> contienne certaines présomptions quant au lieu de résidence, le lieu de résidence la détermination de </w:t>
      </w:r>
      <w:proofErr w:type="spellStart"/>
      <w:r w:rsidRPr="000A1160">
        <w:rPr>
          <w:rFonts w:cs="Times New Roman"/>
          <w:szCs w:val="24"/>
          <w:lang w:val="fr-FR"/>
        </w:rPr>
        <w:t>celui</w:t>
      </w:r>
      <w:r w:rsidRPr="000A1160">
        <w:rPr>
          <w:rFonts w:cs="Times New Roman"/>
          <w:szCs w:val="24"/>
          <w:lang w:val="fr-FR"/>
        </w:rPr>
        <w:noBreakHyphen/>
        <w:t>ci</w:t>
      </w:r>
      <w:proofErr w:type="spellEnd"/>
      <w:r w:rsidRPr="000A1160">
        <w:rPr>
          <w:rFonts w:cs="Times New Roman"/>
          <w:szCs w:val="24"/>
          <w:lang w:val="fr-FR"/>
        </w:rPr>
        <w:t xml:space="preserve"> demeure généralement une question de fait. </w:t>
      </w:r>
    </w:p>
    <w:p w:rsidR="004F639D" w:rsidRPr="000A1160" w:rsidRDefault="004F639D" w:rsidP="004F639D">
      <w:pPr>
        <w:pStyle w:val="ParaNoNdepar-AltN"/>
        <w:rPr>
          <w:rFonts w:cs="Times New Roman"/>
          <w:szCs w:val="24"/>
          <w:lang w:val="fr-FR"/>
        </w:rPr>
      </w:pPr>
      <w:r w:rsidRPr="000A1160">
        <w:rPr>
          <w:rFonts w:cs="Times New Roman"/>
          <w:szCs w:val="24"/>
          <w:lang w:val="fr-FR"/>
        </w:rPr>
        <w:t xml:space="preserve">Bien qu’il existe peu de décisions judiciaires sur le lieu de résidence des fiducies, il a par contre été établi qu’une société réside là où s’exercent effectivement sa gestion centrale et son contrôle.  Dans </w:t>
      </w:r>
      <w:r w:rsidRPr="000A1160">
        <w:rPr>
          <w:rFonts w:cs="Times New Roman"/>
          <w:i/>
          <w:szCs w:val="24"/>
          <w:lang w:val="fr-FR"/>
        </w:rPr>
        <w:t xml:space="preserve">De </w:t>
      </w:r>
      <w:proofErr w:type="spellStart"/>
      <w:r w:rsidRPr="000A1160">
        <w:rPr>
          <w:rFonts w:cs="Times New Roman"/>
          <w:i/>
          <w:szCs w:val="24"/>
          <w:lang w:val="fr-FR"/>
        </w:rPr>
        <w:t>Beers</w:t>
      </w:r>
      <w:proofErr w:type="spellEnd"/>
      <w:r w:rsidRPr="000A1160">
        <w:rPr>
          <w:rFonts w:cs="Times New Roman"/>
          <w:i/>
          <w:szCs w:val="24"/>
          <w:lang w:val="fr-FR"/>
        </w:rPr>
        <w:t xml:space="preserve"> </w:t>
      </w:r>
      <w:proofErr w:type="spellStart"/>
      <w:r w:rsidRPr="000A1160">
        <w:rPr>
          <w:rFonts w:cs="Times New Roman"/>
          <w:i/>
          <w:szCs w:val="24"/>
          <w:lang w:val="fr-FR"/>
        </w:rPr>
        <w:t>Consolidated</w:t>
      </w:r>
      <w:proofErr w:type="spellEnd"/>
      <w:r w:rsidRPr="000A1160">
        <w:rPr>
          <w:rFonts w:cs="Times New Roman"/>
          <w:i/>
          <w:szCs w:val="24"/>
          <w:lang w:val="fr-FR"/>
        </w:rPr>
        <w:t xml:space="preserve"> Mines, Ltd. c. Howe</w:t>
      </w:r>
      <w:r w:rsidRPr="000A1160">
        <w:rPr>
          <w:rFonts w:cs="Times New Roman"/>
          <w:szCs w:val="24"/>
          <w:lang w:val="fr-FR"/>
        </w:rPr>
        <w:t xml:space="preserve">, [1906] A.C. 455 (H.L.), lord </w:t>
      </w:r>
      <w:proofErr w:type="spellStart"/>
      <w:r w:rsidRPr="000A1160">
        <w:rPr>
          <w:rFonts w:cs="Times New Roman"/>
          <w:szCs w:val="24"/>
          <w:lang w:val="fr-FR"/>
        </w:rPr>
        <w:t>Loreburn</w:t>
      </w:r>
      <w:proofErr w:type="spellEnd"/>
      <w:r w:rsidRPr="000A1160">
        <w:rPr>
          <w:rFonts w:cs="Times New Roman"/>
          <w:szCs w:val="24"/>
          <w:lang w:val="fr-FR"/>
        </w:rPr>
        <w:t xml:space="preserve"> a dit ceci, à la p. 458 :</w:t>
      </w:r>
    </w:p>
    <w:p w:rsidR="004F639D" w:rsidRPr="000A1160" w:rsidRDefault="004F639D" w:rsidP="004F639D">
      <w:pPr>
        <w:pStyle w:val="Citation-AltC"/>
        <w:ind w:hanging="1166"/>
        <w:rPr>
          <w:szCs w:val="24"/>
          <w:lang w:val="fr-FR"/>
        </w:rPr>
      </w:pPr>
      <w:r w:rsidRPr="000A1160">
        <w:rPr>
          <w:szCs w:val="24"/>
          <w:lang w:val="fr-FR"/>
        </w:rPr>
        <w:tab/>
        <w:t>[</w:t>
      </w:r>
      <w:r w:rsidRPr="000A1160">
        <w:rPr>
          <w:smallCaps/>
          <w:szCs w:val="24"/>
          <w:lang w:val="fr-FR"/>
        </w:rPr>
        <w:t>traduction</w:t>
      </w:r>
      <w:r w:rsidRPr="000A1160">
        <w:rPr>
          <w:szCs w:val="24"/>
          <w:lang w:val="fr-FR"/>
        </w:rPr>
        <w:t>]  En appliquant la notion de résidence à une société, nous devrions, à mon avis, procéder autant que possible par analogie avec un particulier.  Une société ne peut manger ou dormir, mais elle peut avoir pignon sur rue et faire des affaires.  Nous devrons donc nous demander où elle a réellement pignon sur rue et fait réellement des affaires.  [. . .] [P]</w:t>
      </w:r>
      <w:proofErr w:type="spellStart"/>
      <w:r w:rsidRPr="000A1160">
        <w:rPr>
          <w:szCs w:val="24"/>
          <w:lang w:val="fr-FR"/>
        </w:rPr>
        <w:t>our</w:t>
      </w:r>
      <w:proofErr w:type="spellEnd"/>
      <w:r w:rsidRPr="000A1160">
        <w:rPr>
          <w:szCs w:val="24"/>
          <w:lang w:val="fr-FR"/>
        </w:rPr>
        <w:t xml:space="preserve"> les besoins de l’impôt sur le revenu, une société réside là où sont exercées ses activités véritables. [. . .]  Je considère qu’il s’agit là de la vraie règle, et les activités véritables sont exercées là où s’exercent effectivement sa gestion centrale et son contrôle. </w:t>
      </w:r>
    </w:p>
    <w:p w:rsidR="004F639D" w:rsidRPr="000A1160" w:rsidRDefault="004F639D" w:rsidP="004F639D">
      <w:pPr>
        <w:pStyle w:val="ContinueParaSuitedupar-AltP"/>
        <w:rPr>
          <w:rFonts w:cs="Times New Roman"/>
          <w:szCs w:val="24"/>
          <w:lang w:val="fr-FR"/>
        </w:rPr>
      </w:pPr>
      <w:r w:rsidRPr="000A1160">
        <w:rPr>
          <w:rFonts w:cs="Times New Roman"/>
          <w:szCs w:val="24"/>
          <w:lang w:val="fr-FR"/>
        </w:rPr>
        <w:t>Le critère de la gestion centrale et du contrôle servant à d</w:t>
      </w:r>
      <w:proofErr w:type="spellStart"/>
      <w:r w:rsidRPr="000A1160">
        <w:rPr>
          <w:rFonts w:cs="Times New Roman"/>
          <w:szCs w:val="24"/>
          <w:lang w:val="fr-CA"/>
        </w:rPr>
        <w:t>éterminer</w:t>
      </w:r>
      <w:proofErr w:type="spellEnd"/>
      <w:r w:rsidRPr="000A1160">
        <w:rPr>
          <w:rFonts w:cs="Times New Roman"/>
          <w:szCs w:val="24"/>
          <w:lang w:val="fr-CA"/>
        </w:rPr>
        <w:t xml:space="preserve"> le lieu de résidence d’une société a été adopté dans un certain nombre de décisions au Canada, et il y est bien établi </w:t>
      </w:r>
      <w:r w:rsidRPr="000A1160">
        <w:rPr>
          <w:rFonts w:cs="Times New Roman"/>
          <w:szCs w:val="24"/>
          <w:lang w:val="fr-FR"/>
        </w:rPr>
        <w:t xml:space="preserve">(voir </w:t>
      </w:r>
      <w:r w:rsidRPr="000A1160">
        <w:rPr>
          <w:rFonts w:cs="Times New Roman"/>
          <w:i/>
          <w:iCs/>
          <w:szCs w:val="24"/>
          <w:lang w:val="fr-FR"/>
        </w:rPr>
        <w:t xml:space="preserve">The King c. British Columbia Electric </w:t>
      </w:r>
      <w:proofErr w:type="spellStart"/>
      <w:r w:rsidRPr="000A1160">
        <w:rPr>
          <w:rFonts w:cs="Times New Roman"/>
          <w:i/>
          <w:iCs/>
          <w:szCs w:val="24"/>
          <w:lang w:val="fr-FR"/>
        </w:rPr>
        <w:t>Railway</w:t>
      </w:r>
      <w:proofErr w:type="spellEnd"/>
      <w:r w:rsidRPr="000A1160">
        <w:rPr>
          <w:rFonts w:cs="Times New Roman"/>
          <w:i/>
          <w:iCs/>
          <w:szCs w:val="24"/>
          <w:lang w:val="fr-FR"/>
        </w:rPr>
        <w:t xml:space="preserve"> Co.</w:t>
      </w:r>
      <w:r w:rsidRPr="000A1160">
        <w:rPr>
          <w:rFonts w:cs="Times New Roman"/>
          <w:iCs/>
          <w:szCs w:val="24"/>
          <w:lang w:val="fr-FR"/>
        </w:rPr>
        <w:t>,</w:t>
      </w:r>
      <w:r w:rsidRPr="000A1160">
        <w:rPr>
          <w:rFonts w:cs="Times New Roman"/>
          <w:i/>
          <w:iCs/>
          <w:szCs w:val="24"/>
          <w:lang w:val="fr-FR"/>
        </w:rPr>
        <w:t xml:space="preserve"> </w:t>
      </w:r>
      <w:r w:rsidRPr="000A1160">
        <w:rPr>
          <w:rFonts w:cs="Times New Roman"/>
          <w:szCs w:val="24"/>
          <w:lang w:val="fr-FR"/>
        </w:rPr>
        <w:t xml:space="preserve">[1945] C.T.C. 162 (C. de l’É.); </w:t>
      </w:r>
      <w:proofErr w:type="spellStart"/>
      <w:r w:rsidRPr="000A1160">
        <w:rPr>
          <w:rFonts w:cs="Times New Roman"/>
          <w:i/>
          <w:szCs w:val="24"/>
          <w:lang w:val="fr-FR"/>
        </w:rPr>
        <w:t>Crossley</w:t>
      </w:r>
      <w:proofErr w:type="spellEnd"/>
      <w:r w:rsidRPr="000A1160">
        <w:rPr>
          <w:rFonts w:cs="Times New Roman"/>
          <w:i/>
          <w:szCs w:val="24"/>
          <w:lang w:val="fr-FR"/>
        </w:rPr>
        <w:t xml:space="preserve"> </w:t>
      </w:r>
      <w:proofErr w:type="spellStart"/>
      <w:r w:rsidRPr="000A1160">
        <w:rPr>
          <w:rFonts w:cs="Times New Roman"/>
          <w:i/>
          <w:szCs w:val="24"/>
          <w:lang w:val="fr-FR"/>
        </w:rPr>
        <w:t>Carpets</w:t>
      </w:r>
      <w:proofErr w:type="spellEnd"/>
      <w:r w:rsidRPr="000A1160">
        <w:rPr>
          <w:rFonts w:cs="Times New Roman"/>
          <w:i/>
          <w:szCs w:val="24"/>
          <w:lang w:val="fr-FR"/>
        </w:rPr>
        <w:t xml:space="preserve"> (Canada) Ltd. c. M.N.R. </w:t>
      </w:r>
      <w:r w:rsidR="00305D2B">
        <w:rPr>
          <w:rFonts w:cs="Times New Roman"/>
          <w:szCs w:val="24"/>
          <w:lang w:val="fr-FR"/>
        </w:rPr>
        <w:t>(1967</w:t>
      </w:r>
      <w:r w:rsidRPr="000A1160">
        <w:rPr>
          <w:rFonts w:cs="Times New Roman"/>
          <w:szCs w:val="24"/>
          <w:lang w:val="fr-FR"/>
        </w:rPr>
        <w:t>), 67 D.T.C. 522 (C.</w:t>
      </w:r>
      <w:r w:rsidR="00305D2B">
        <w:rPr>
          <w:rFonts w:cs="Times New Roman"/>
          <w:szCs w:val="24"/>
          <w:lang w:val="fr-FR"/>
        </w:rPr>
        <w:t>A.I</w:t>
      </w:r>
      <w:r w:rsidRPr="000A1160">
        <w:rPr>
          <w:rFonts w:cs="Times New Roman"/>
          <w:szCs w:val="24"/>
          <w:lang w:val="fr-FR"/>
        </w:rPr>
        <w:t>.)).</w:t>
      </w:r>
    </w:p>
    <w:p w:rsidR="004F639D" w:rsidRPr="000A1160" w:rsidRDefault="004F639D" w:rsidP="004F639D">
      <w:pPr>
        <w:pStyle w:val="ParaNoNdepar-AltN"/>
        <w:rPr>
          <w:rFonts w:cs="Times New Roman"/>
          <w:szCs w:val="24"/>
          <w:lang w:val="fr-FR"/>
        </w:rPr>
      </w:pPr>
      <w:r w:rsidRPr="000A1160">
        <w:rPr>
          <w:rFonts w:cs="Times New Roman"/>
          <w:szCs w:val="24"/>
          <w:lang w:val="fr-FR"/>
        </w:rPr>
        <w:t xml:space="preserve">En règle générale, la gestion centrale et le contrôle d’une société sont exercés là où son conseil d’administration exerce ses responsabilités.  Mais comme le </w:t>
      </w:r>
      <w:r w:rsidRPr="000A1160">
        <w:rPr>
          <w:rFonts w:cs="Times New Roman"/>
          <w:szCs w:val="24"/>
          <w:lang w:val="fr-FR"/>
        </w:rPr>
        <w:lastRenderedPageBreak/>
        <w:t xml:space="preserve">souligne la juge </w:t>
      </w:r>
      <w:proofErr w:type="spellStart"/>
      <w:r w:rsidRPr="000A1160">
        <w:rPr>
          <w:rFonts w:cs="Times New Roman"/>
          <w:szCs w:val="24"/>
          <w:lang w:val="fr-FR"/>
        </w:rPr>
        <w:t>Sharlow</w:t>
      </w:r>
      <w:proofErr w:type="spellEnd"/>
      <w:r w:rsidRPr="000A1160">
        <w:rPr>
          <w:rFonts w:cs="Times New Roman"/>
          <w:szCs w:val="24"/>
          <w:lang w:val="fr-FR"/>
        </w:rPr>
        <w:t xml:space="preserve"> (au par. 56), dans les cas où la gestion centrale et le contrôle d’une société sont exercés par un actionnaire qui réside dans un autre pays et y prend les décisions relativement à </w:t>
      </w:r>
      <w:proofErr w:type="spellStart"/>
      <w:r w:rsidRPr="000A1160">
        <w:rPr>
          <w:rFonts w:cs="Times New Roman"/>
          <w:szCs w:val="24"/>
          <w:lang w:val="fr-FR"/>
        </w:rPr>
        <w:t>celle</w:t>
      </w:r>
      <w:r w:rsidRPr="000A1160">
        <w:rPr>
          <w:rFonts w:cs="Times New Roman"/>
          <w:szCs w:val="24"/>
          <w:lang w:val="fr-FR"/>
        </w:rPr>
        <w:noBreakHyphen/>
        <w:t>ci</w:t>
      </w:r>
      <w:proofErr w:type="spellEnd"/>
      <w:r w:rsidRPr="000A1160">
        <w:rPr>
          <w:rFonts w:cs="Times New Roman"/>
          <w:szCs w:val="24"/>
          <w:lang w:val="fr-FR"/>
        </w:rPr>
        <w:t xml:space="preserve">, la société sera considérée comme résidant au même endroit que l’actionnaire (voir </w:t>
      </w:r>
      <w:r w:rsidRPr="000A1160">
        <w:rPr>
          <w:rFonts w:cs="Times New Roman"/>
          <w:i/>
          <w:szCs w:val="24"/>
          <w:lang w:val="fr-FR"/>
        </w:rPr>
        <w:t xml:space="preserve">Unit Construction Co. c. </w:t>
      </w:r>
      <w:proofErr w:type="spellStart"/>
      <w:r w:rsidRPr="000A1160">
        <w:rPr>
          <w:rFonts w:cs="Times New Roman"/>
          <w:i/>
          <w:szCs w:val="24"/>
          <w:lang w:val="fr-FR"/>
        </w:rPr>
        <w:t>Bullock</w:t>
      </w:r>
      <w:proofErr w:type="spellEnd"/>
      <w:r w:rsidR="00DC22B6" w:rsidRPr="000A1160">
        <w:rPr>
          <w:rFonts w:cs="Times New Roman"/>
          <w:szCs w:val="24"/>
          <w:lang w:val="fr-FR"/>
        </w:rPr>
        <w:t>, [1960] A.C. 351 (H.L.)</w:t>
      </w:r>
      <w:r w:rsidRPr="000A1160">
        <w:rPr>
          <w:rFonts w:cs="Times New Roman"/>
          <w:szCs w:val="24"/>
          <w:lang w:val="fr-FR"/>
        </w:rPr>
        <w:t>)</w:t>
      </w:r>
      <w:r w:rsidR="00DC22B6" w:rsidRPr="000A1160">
        <w:rPr>
          <w:rFonts w:cs="Times New Roman"/>
          <w:szCs w:val="24"/>
          <w:lang w:val="fr-FR"/>
        </w:rPr>
        <w:t>.</w:t>
      </w:r>
    </w:p>
    <w:p w:rsidR="004F639D" w:rsidRPr="000A1160" w:rsidRDefault="004F639D" w:rsidP="004F639D">
      <w:pPr>
        <w:pStyle w:val="ParaNoNdepar-AltN"/>
        <w:rPr>
          <w:rFonts w:cs="Times New Roman"/>
          <w:szCs w:val="24"/>
          <w:lang w:val="fr-FR"/>
        </w:rPr>
      </w:pPr>
      <w:r w:rsidRPr="000A1160">
        <w:rPr>
          <w:rFonts w:cs="Times New Roman"/>
          <w:szCs w:val="24"/>
          <w:lang w:val="fr-FR"/>
        </w:rPr>
        <w:t xml:space="preserve">St. Michael s’appuie sur deux propositions fondamentales pour dire que le lieu de résidence de la fiducie doit être le même que celui du fiduciaire.  Premièrement, comme une fiducie n’est pas une personne au même titre qu’une société, le critère de la gestion centrale et du contrôle ne s’applique pas aux fiducies.  La juge </w:t>
      </w:r>
      <w:proofErr w:type="spellStart"/>
      <w:r w:rsidRPr="000A1160">
        <w:rPr>
          <w:rFonts w:cs="Times New Roman"/>
          <w:szCs w:val="24"/>
          <w:lang w:val="fr-FR"/>
        </w:rPr>
        <w:t>Sharlow</w:t>
      </w:r>
      <w:proofErr w:type="spellEnd"/>
      <w:r w:rsidRPr="000A1160">
        <w:rPr>
          <w:rFonts w:cs="Times New Roman"/>
          <w:szCs w:val="24"/>
          <w:lang w:val="fr-FR"/>
        </w:rPr>
        <w:t xml:space="preserve"> de la Cour d’appel fédérale a écarté sommairement ce premier argument de St. Michael, et nous faisons de même.  Bien qu’une fiducie ne soit pas une personne en </w:t>
      </w:r>
      <w:proofErr w:type="spellStart"/>
      <w:r w:rsidRPr="000A1160">
        <w:rPr>
          <w:rFonts w:cs="Times New Roman"/>
          <w:szCs w:val="24"/>
          <w:lang w:val="fr-FR"/>
        </w:rPr>
        <w:t>common</w:t>
      </w:r>
      <w:proofErr w:type="spellEnd"/>
      <w:r w:rsidRPr="000A1160">
        <w:rPr>
          <w:rFonts w:cs="Times New Roman"/>
          <w:szCs w:val="24"/>
          <w:lang w:val="fr-FR"/>
        </w:rPr>
        <w:t xml:space="preserve"> </w:t>
      </w:r>
      <w:proofErr w:type="spellStart"/>
      <w:r w:rsidRPr="000A1160">
        <w:rPr>
          <w:rFonts w:cs="Times New Roman"/>
          <w:szCs w:val="24"/>
          <w:lang w:val="fr-FR"/>
        </w:rPr>
        <w:t>law</w:t>
      </w:r>
      <w:proofErr w:type="spellEnd"/>
      <w:r w:rsidRPr="000A1160">
        <w:rPr>
          <w:rFonts w:cs="Times New Roman"/>
          <w:szCs w:val="24"/>
          <w:lang w:val="fr-FR"/>
        </w:rPr>
        <w:t>, elle est réputée être un particulier aux termes de la Loi.  Le paragraphe 104(2) prévoit en effet ce qui suit :</w:t>
      </w:r>
    </w:p>
    <w:p w:rsidR="004F639D" w:rsidRPr="000A1160" w:rsidRDefault="004F639D" w:rsidP="004F639D">
      <w:pPr>
        <w:pStyle w:val="Citation-AltC"/>
        <w:ind w:hanging="1166"/>
        <w:rPr>
          <w:szCs w:val="24"/>
          <w:lang w:val="fr-FR"/>
        </w:rPr>
      </w:pPr>
      <w:r w:rsidRPr="000A1160">
        <w:rPr>
          <w:szCs w:val="24"/>
          <w:lang w:val="fr-FR"/>
        </w:rPr>
        <w:tab/>
      </w:r>
      <w:r w:rsidRPr="000A1160">
        <w:rPr>
          <w:szCs w:val="24"/>
          <w:lang w:val="fr-FR"/>
        </w:rPr>
        <w:tab/>
        <w:t xml:space="preserve">Pour l’application de la présente loi, et sans que l’assujettissement du fiduciaire ou des représentants légaux à leur propre impôt sur le revenu en soit atteint, une fiducie est </w:t>
      </w:r>
      <w:r w:rsidRPr="000A1160">
        <w:rPr>
          <w:szCs w:val="24"/>
          <w:u w:val="single"/>
          <w:lang w:val="fr-FR"/>
        </w:rPr>
        <w:t xml:space="preserve">réputée être un particulier relativement aux biens de la </w:t>
      </w:r>
      <w:proofErr w:type="gramStart"/>
      <w:r w:rsidRPr="000A1160">
        <w:rPr>
          <w:szCs w:val="24"/>
          <w:u w:val="single"/>
          <w:lang w:val="fr-FR"/>
        </w:rPr>
        <w:t>fiducie</w:t>
      </w:r>
      <w:r w:rsidRPr="000A1160">
        <w:rPr>
          <w:szCs w:val="24"/>
          <w:lang w:val="fr-FR"/>
        </w:rPr>
        <w:t xml:space="preserve"> .</w:t>
      </w:r>
      <w:proofErr w:type="gramEnd"/>
      <w:r w:rsidRPr="000A1160">
        <w:rPr>
          <w:szCs w:val="24"/>
          <w:lang w:val="fr-FR"/>
        </w:rPr>
        <w:t> . .</w:t>
      </w:r>
    </w:p>
    <w:p w:rsidR="004F639D" w:rsidRPr="000A1160" w:rsidRDefault="004F639D" w:rsidP="004F639D">
      <w:pPr>
        <w:pStyle w:val="ContinueParaSuitedupar-AltP"/>
        <w:rPr>
          <w:rFonts w:cs="Times New Roman"/>
          <w:szCs w:val="24"/>
          <w:lang w:val="fr-FR"/>
        </w:rPr>
      </w:pPr>
      <w:r w:rsidRPr="000A1160">
        <w:rPr>
          <w:rFonts w:cs="Times New Roman"/>
          <w:szCs w:val="24"/>
          <w:lang w:val="fr-FR"/>
        </w:rPr>
        <w:t xml:space="preserve">À l’instar du ministre, nous sommes d’avis que le fait qu’une fiducie ne possède pas, en </w:t>
      </w:r>
      <w:proofErr w:type="spellStart"/>
      <w:r w:rsidRPr="000A1160">
        <w:rPr>
          <w:rFonts w:cs="Times New Roman"/>
          <w:szCs w:val="24"/>
          <w:lang w:val="fr-FR"/>
        </w:rPr>
        <w:t>common</w:t>
      </w:r>
      <w:proofErr w:type="spellEnd"/>
      <w:r w:rsidRPr="000A1160">
        <w:rPr>
          <w:rFonts w:cs="Times New Roman"/>
          <w:szCs w:val="24"/>
          <w:lang w:val="fr-FR"/>
        </w:rPr>
        <w:t xml:space="preserve"> </w:t>
      </w:r>
      <w:proofErr w:type="spellStart"/>
      <w:r w:rsidRPr="000A1160">
        <w:rPr>
          <w:rFonts w:cs="Times New Roman"/>
          <w:szCs w:val="24"/>
          <w:lang w:val="fr-FR"/>
        </w:rPr>
        <w:t>law</w:t>
      </w:r>
      <w:proofErr w:type="spellEnd"/>
      <w:r w:rsidRPr="000A1160">
        <w:rPr>
          <w:rFonts w:cs="Times New Roman"/>
          <w:szCs w:val="24"/>
          <w:lang w:val="fr-FR"/>
        </w:rPr>
        <w:t xml:space="preserve">, une existence juridique autonome n’est pas pertinent pour l’application de la Loi. </w:t>
      </w:r>
    </w:p>
    <w:p w:rsidR="004F639D" w:rsidRPr="000A1160" w:rsidRDefault="004F639D" w:rsidP="004F639D">
      <w:pPr>
        <w:pStyle w:val="ParaNoNdepar-AltN"/>
        <w:rPr>
          <w:rFonts w:cs="Times New Roman"/>
          <w:szCs w:val="24"/>
          <w:lang w:val="fr-FR"/>
        </w:rPr>
      </w:pPr>
      <w:r w:rsidRPr="000A1160">
        <w:rPr>
          <w:rFonts w:cs="Times New Roman"/>
          <w:szCs w:val="24"/>
          <w:lang w:val="fr-FR"/>
        </w:rPr>
        <w:lastRenderedPageBreak/>
        <w:t>Deuxièmement, St. Michael soutient que, comme la Loi rattache la fiducie au fiduciaire, le lieu de résidence de la fiducie est nécessairement celui du fiduciaire.  Elle fonde cet argument sur le passage suivant du par. 104(1) :</w:t>
      </w:r>
    </w:p>
    <w:p w:rsidR="004F639D" w:rsidRPr="000A1160" w:rsidRDefault="004F639D" w:rsidP="004F639D">
      <w:pPr>
        <w:pStyle w:val="Citation-AltC"/>
        <w:ind w:hanging="1166"/>
        <w:rPr>
          <w:szCs w:val="24"/>
          <w:lang w:val="fr-FR"/>
        </w:rPr>
      </w:pPr>
      <w:r w:rsidRPr="000A1160">
        <w:rPr>
          <w:szCs w:val="24"/>
          <w:lang w:val="fr-FR"/>
        </w:rPr>
        <w:tab/>
      </w:r>
      <w:r w:rsidRPr="000A1160">
        <w:rPr>
          <w:szCs w:val="24"/>
          <w:lang w:val="fr-FR"/>
        </w:rPr>
        <w:tab/>
        <w:t>Dans la présente loi, la mention d’une fiducie ou d’une succession [. . .] vaut également</w:t>
      </w:r>
      <w:r w:rsidR="00DC22B6" w:rsidRPr="000A1160">
        <w:rPr>
          <w:szCs w:val="24"/>
          <w:lang w:val="fr-FR"/>
        </w:rPr>
        <w:t xml:space="preserve"> mention</w:t>
      </w:r>
      <w:r w:rsidRPr="000A1160">
        <w:rPr>
          <w:szCs w:val="24"/>
          <w:lang w:val="fr-FR"/>
        </w:rPr>
        <w:t>, sauf indication contraire du contexte, du fiduciaire, de l’exécuteur testamentaire, de l’administrateur successoral, du liquidateur de succession, de l’héritier ou d’un autre représentant légal ayant la propriété ou le c</w:t>
      </w:r>
      <w:r w:rsidR="00DC22B6" w:rsidRPr="000A1160">
        <w:rPr>
          <w:szCs w:val="24"/>
          <w:lang w:val="fr-FR"/>
        </w:rPr>
        <w:t>ontrôle des biens de la fiducie. . .</w:t>
      </w:r>
    </w:p>
    <w:p w:rsidR="004F639D" w:rsidRPr="000A1160" w:rsidRDefault="004F639D" w:rsidP="004F639D">
      <w:pPr>
        <w:pStyle w:val="ContinueParaSuitedupar-AltP"/>
        <w:rPr>
          <w:rFonts w:cs="Times New Roman"/>
          <w:szCs w:val="24"/>
          <w:lang w:val="fr-FR"/>
        </w:rPr>
      </w:pPr>
      <w:r w:rsidRPr="000A1160">
        <w:rPr>
          <w:rFonts w:cs="Times New Roman"/>
          <w:szCs w:val="24"/>
          <w:lang w:val="fr-FR"/>
        </w:rPr>
        <w:t xml:space="preserve">La Cour d’appel fédérale a conclu que le rattachement établi au par. 104(1) vise à résoudre « les problèmes fiscaux d’ordre pratique qui vont nécessairement survenir à partir du moment où l’on décide que les fiducies sont imposables bien qu’elles soient dénuées de personnalité juridique » (par. 64).  Cela ne veut pas dire pour autant que le lieu de résidence de la fiducie correspond invariablement au lieu de résidence du fiduciaire. </w:t>
      </w:r>
    </w:p>
    <w:p w:rsidR="004F639D" w:rsidRPr="000A1160" w:rsidRDefault="004F639D" w:rsidP="004F639D">
      <w:pPr>
        <w:pStyle w:val="ParaNoNdepar-AltN"/>
        <w:rPr>
          <w:rFonts w:cs="Times New Roman"/>
          <w:szCs w:val="24"/>
          <w:lang w:val="fr-FR"/>
        </w:rPr>
      </w:pPr>
      <w:r w:rsidRPr="000A1160">
        <w:rPr>
          <w:rFonts w:cs="Times New Roman"/>
          <w:szCs w:val="24"/>
          <w:lang w:val="fr-FR"/>
        </w:rPr>
        <w:t xml:space="preserve">St. Michael prétend que le par. 104(1) rattache le fiduciaire à la fiducie pour tous les attributs de cette dernière, y compris le lieu de résidence.  Toutefois, bien que ce paragraphe précise que la mention d’une fiducie dans la Loi vaut également mention du fiduciaire, St. Michael ne fait état d’aucune disposition qui rattacherait la fiducie au fiduciaire aux fins de détermination du lieu de résidence de la première.  Le rattachement invoqué par St. Michael ne constitue pas un principe qui s’applique de façon générale aux fiducies, et ce, à tous égards; de plus, rien dans </w:t>
      </w:r>
      <w:r w:rsidRPr="000A1160">
        <w:rPr>
          <w:rFonts w:cs="Times New Roman"/>
          <w:szCs w:val="24"/>
          <w:lang w:val="fr-FR"/>
        </w:rPr>
        <w:lastRenderedPageBreak/>
        <w:t xml:space="preserve">le contexte du par. 104(1) ne tend à indiquer l’existence d’une règle de droit exigeant que le lieu de résidence d’une fiducie soit celui du fiduciaire. </w:t>
      </w:r>
    </w:p>
    <w:p w:rsidR="004F639D" w:rsidRPr="000A1160" w:rsidRDefault="004F639D" w:rsidP="004F639D">
      <w:pPr>
        <w:pStyle w:val="ParaNoNdepar-AltN"/>
        <w:rPr>
          <w:rFonts w:cs="Times New Roman"/>
          <w:szCs w:val="24"/>
          <w:lang w:val="fr-FR"/>
        </w:rPr>
      </w:pPr>
      <w:bookmarkStart w:id="0" w:name="OLE_LINK1"/>
      <w:bookmarkStart w:id="1" w:name="OLE_LINK2"/>
      <w:r w:rsidRPr="000A1160">
        <w:rPr>
          <w:rFonts w:cs="Times New Roman"/>
          <w:szCs w:val="24"/>
          <w:lang w:val="fr-FR"/>
        </w:rPr>
        <w:t xml:space="preserve">Au contraire, le par. 2(1) est la principale disposition de la Loi qui établit l’assujettissement à l’impôt, et le mot « personne » y figurant doit s’entendre du contribuable dont le revenu imposable est assujetti à l’impôt sur le revenu.  Ce contribuable c’est la fiducie, </w:t>
      </w:r>
      <w:r w:rsidRPr="000A1160">
        <w:rPr>
          <w:rFonts w:cs="Times New Roman"/>
          <w:i/>
          <w:szCs w:val="24"/>
          <w:lang w:val="fr-FR"/>
        </w:rPr>
        <w:t>non</w:t>
      </w:r>
      <w:r w:rsidRPr="000A1160">
        <w:rPr>
          <w:rFonts w:cs="Times New Roman"/>
          <w:szCs w:val="24"/>
          <w:lang w:val="fr-FR"/>
        </w:rPr>
        <w:t xml:space="preserve"> le fiduciaire.  Cette conclusion découle du texte du par. 104(2), qui </w:t>
      </w:r>
      <w:proofErr w:type="gramStart"/>
      <w:r w:rsidRPr="000A1160">
        <w:rPr>
          <w:rFonts w:cs="Times New Roman"/>
          <w:szCs w:val="24"/>
          <w:lang w:val="fr-FR"/>
        </w:rPr>
        <w:t>distingue</w:t>
      </w:r>
      <w:proofErr w:type="gramEnd"/>
      <w:r w:rsidRPr="000A1160">
        <w:rPr>
          <w:rFonts w:cs="Times New Roman"/>
          <w:szCs w:val="24"/>
          <w:lang w:val="fr-FR"/>
        </w:rPr>
        <w:t xml:space="preserve"> la fiducie du fiduciaire pour ce qui est des biens de la fiducie.</w:t>
      </w:r>
      <w:bookmarkEnd w:id="0"/>
      <w:bookmarkEnd w:id="1"/>
    </w:p>
    <w:p w:rsidR="004F639D" w:rsidRPr="000A1160" w:rsidRDefault="004F639D" w:rsidP="004F639D">
      <w:pPr>
        <w:pStyle w:val="ParaNoNdepar-AltN"/>
        <w:rPr>
          <w:rFonts w:cs="Times New Roman"/>
          <w:szCs w:val="24"/>
          <w:lang w:val="fr-FR"/>
        </w:rPr>
      </w:pPr>
      <w:r w:rsidRPr="000A1160">
        <w:rPr>
          <w:rFonts w:cs="Times New Roman"/>
          <w:szCs w:val="24"/>
          <w:lang w:val="fr-FR"/>
        </w:rPr>
        <w:t xml:space="preserve">Par contre, les fiducies et les sociétés partagent de nombreuses similitudes qui, à notre avis, justifieraient que l’on applique le critère de la gestion centrale et du contrôle pour déterminer le lieu de résidence d’une fiducie, tout comme il est utilisé pour établir le lieu de résidence d’une société.  Voici certaines de ces similitudes : </w:t>
      </w:r>
    </w:p>
    <w:p w:rsidR="004F639D" w:rsidRPr="000A1160" w:rsidRDefault="00DC22B6" w:rsidP="00DC22B6">
      <w:pPr>
        <w:pStyle w:val="Citation-AltC"/>
        <w:tabs>
          <w:tab w:val="left" w:pos="1440"/>
        </w:tabs>
        <w:spacing w:after="480" w:line="480" w:lineRule="auto"/>
        <w:ind w:left="720" w:hanging="720"/>
        <w:contextualSpacing w:val="0"/>
        <w:rPr>
          <w:szCs w:val="24"/>
          <w:lang w:val="fr-FR"/>
        </w:rPr>
      </w:pPr>
      <w:r w:rsidRPr="000A1160">
        <w:rPr>
          <w:szCs w:val="24"/>
          <w:lang w:val="fr-FR"/>
        </w:rPr>
        <w:t>(1)</w:t>
      </w:r>
      <w:r w:rsidRPr="000A1160">
        <w:rPr>
          <w:szCs w:val="24"/>
          <w:lang w:val="fr-FR"/>
        </w:rPr>
        <w:tab/>
      </w:r>
      <w:r w:rsidR="004F639D" w:rsidRPr="000A1160">
        <w:rPr>
          <w:szCs w:val="24"/>
          <w:lang w:val="fr-FR"/>
        </w:rPr>
        <w:t>les deux détiennent des éléments d’actif à gérer;</w:t>
      </w:r>
    </w:p>
    <w:p w:rsidR="004F639D" w:rsidRPr="000A1160" w:rsidRDefault="00DC22B6" w:rsidP="00DC22B6">
      <w:pPr>
        <w:pStyle w:val="Citation-AltC"/>
        <w:tabs>
          <w:tab w:val="left" w:pos="1440"/>
        </w:tabs>
        <w:spacing w:after="480" w:line="480" w:lineRule="auto"/>
        <w:ind w:left="720" w:hanging="720"/>
        <w:contextualSpacing w:val="0"/>
        <w:rPr>
          <w:szCs w:val="24"/>
          <w:lang w:val="fr-FR"/>
        </w:rPr>
      </w:pPr>
      <w:r w:rsidRPr="000A1160">
        <w:rPr>
          <w:szCs w:val="24"/>
          <w:lang w:val="fr-FR"/>
        </w:rPr>
        <w:t>(2)</w:t>
      </w:r>
      <w:r w:rsidRPr="000A1160">
        <w:rPr>
          <w:szCs w:val="24"/>
          <w:lang w:val="fr-FR"/>
        </w:rPr>
        <w:tab/>
      </w:r>
      <w:r w:rsidR="004F639D" w:rsidRPr="000A1160">
        <w:rPr>
          <w:szCs w:val="24"/>
          <w:lang w:val="fr-FR"/>
        </w:rPr>
        <w:t>les deux impliquent l’acquisition et la disposition d’éléments d’actif;</w:t>
      </w:r>
    </w:p>
    <w:p w:rsidR="004F639D" w:rsidRPr="000A1160" w:rsidRDefault="00DC22B6" w:rsidP="00DC22B6">
      <w:pPr>
        <w:pStyle w:val="Citation-AltC"/>
        <w:tabs>
          <w:tab w:val="left" w:pos="1440"/>
        </w:tabs>
        <w:spacing w:after="480" w:line="480" w:lineRule="auto"/>
        <w:ind w:left="720" w:hanging="720"/>
        <w:contextualSpacing w:val="0"/>
        <w:rPr>
          <w:szCs w:val="24"/>
          <w:lang w:val="fr-FR"/>
        </w:rPr>
      </w:pPr>
      <w:r w:rsidRPr="000A1160">
        <w:rPr>
          <w:szCs w:val="24"/>
          <w:lang w:val="fr-FR"/>
        </w:rPr>
        <w:t>(3)</w:t>
      </w:r>
      <w:r w:rsidRPr="000A1160">
        <w:rPr>
          <w:szCs w:val="24"/>
          <w:lang w:val="fr-FR"/>
        </w:rPr>
        <w:tab/>
      </w:r>
      <w:r w:rsidR="004F639D" w:rsidRPr="000A1160">
        <w:rPr>
          <w:szCs w:val="24"/>
          <w:lang w:val="fr-FR"/>
        </w:rPr>
        <w:t>les deux exigent dans certains cas la gestion d’une entreprise;</w:t>
      </w:r>
    </w:p>
    <w:p w:rsidR="004F639D" w:rsidRPr="000A1160" w:rsidRDefault="00DC22B6" w:rsidP="00DC22B6">
      <w:pPr>
        <w:pStyle w:val="Citation-AltC"/>
        <w:tabs>
          <w:tab w:val="left" w:pos="1440"/>
        </w:tabs>
        <w:spacing w:after="480" w:line="480" w:lineRule="auto"/>
        <w:ind w:left="720" w:hanging="720"/>
        <w:contextualSpacing w:val="0"/>
        <w:rPr>
          <w:szCs w:val="24"/>
          <w:lang w:val="fr-FR"/>
        </w:rPr>
      </w:pPr>
      <w:r w:rsidRPr="000A1160">
        <w:rPr>
          <w:szCs w:val="24"/>
          <w:lang w:val="fr-FR"/>
        </w:rPr>
        <w:t>(4)</w:t>
      </w:r>
      <w:r w:rsidRPr="000A1160">
        <w:rPr>
          <w:szCs w:val="24"/>
          <w:lang w:val="fr-FR"/>
        </w:rPr>
        <w:tab/>
      </w:r>
      <w:r w:rsidR="004F639D" w:rsidRPr="000A1160">
        <w:rPr>
          <w:szCs w:val="24"/>
          <w:lang w:val="fr-FR"/>
        </w:rPr>
        <w:t>les deux exigent la prise d’arrangements bancaires et financiers;</w:t>
      </w:r>
    </w:p>
    <w:p w:rsidR="004F639D" w:rsidRPr="000A1160" w:rsidRDefault="00DC22B6" w:rsidP="00DC22B6">
      <w:pPr>
        <w:pStyle w:val="Citation-AltC"/>
        <w:tabs>
          <w:tab w:val="left" w:pos="1440"/>
        </w:tabs>
        <w:spacing w:after="480" w:line="480" w:lineRule="auto"/>
        <w:ind w:left="720" w:hanging="720"/>
        <w:contextualSpacing w:val="0"/>
        <w:rPr>
          <w:szCs w:val="24"/>
          <w:lang w:val="fr-FR"/>
        </w:rPr>
      </w:pPr>
      <w:r w:rsidRPr="000A1160">
        <w:rPr>
          <w:szCs w:val="24"/>
          <w:lang w:val="fr-FR"/>
        </w:rPr>
        <w:lastRenderedPageBreak/>
        <w:t>(5)</w:t>
      </w:r>
      <w:r w:rsidRPr="000A1160">
        <w:rPr>
          <w:szCs w:val="24"/>
          <w:lang w:val="fr-FR"/>
        </w:rPr>
        <w:tab/>
      </w:r>
      <w:r w:rsidR="004F639D" w:rsidRPr="000A1160">
        <w:rPr>
          <w:szCs w:val="24"/>
          <w:lang w:val="fr-FR"/>
        </w:rPr>
        <w:t xml:space="preserve">les deux peuvent avoir besoin des instructions ou conseils d’avocats, de comptables et d’autres conseillers; </w:t>
      </w:r>
    </w:p>
    <w:p w:rsidR="004F639D" w:rsidRPr="000A1160" w:rsidRDefault="00DC22B6" w:rsidP="00DC22B6">
      <w:pPr>
        <w:pStyle w:val="Citation-AltC"/>
        <w:tabs>
          <w:tab w:val="left" w:pos="1440"/>
        </w:tabs>
        <w:spacing w:after="480" w:line="480" w:lineRule="auto"/>
        <w:ind w:left="720" w:hanging="720"/>
        <w:contextualSpacing w:val="0"/>
        <w:rPr>
          <w:szCs w:val="24"/>
          <w:lang w:val="fr-FR"/>
        </w:rPr>
      </w:pPr>
      <w:r w:rsidRPr="000A1160">
        <w:rPr>
          <w:szCs w:val="24"/>
          <w:lang w:val="fr-FR"/>
        </w:rPr>
        <w:t>(6)</w:t>
      </w:r>
      <w:r w:rsidRPr="000A1160">
        <w:rPr>
          <w:szCs w:val="24"/>
          <w:lang w:val="fr-FR"/>
        </w:rPr>
        <w:tab/>
      </w:r>
      <w:r w:rsidR="004F639D" w:rsidRPr="000A1160">
        <w:rPr>
          <w:szCs w:val="24"/>
          <w:lang w:val="fr-FR"/>
        </w:rPr>
        <w:t>les deux peuvent répartir leur revenu, les sociétés par voie de dividendes et les fiducies par voie d’attributions.</w:t>
      </w:r>
    </w:p>
    <w:p w:rsidR="004F639D" w:rsidRPr="000A1160" w:rsidRDefault="004F639D" w:rsidP="004F639D">
      <w:pPr>
        <w:pStyle w:val="ContinueParaSuitedupar-AltP"/>
        <w:rPr>
          <w:rFonts w:cs="Times New Roman"/>
          <w:szCs w:val="24"/>
          <w:lang w:val="fr-FR"/>
        </w:rPr>
      </w:pPr>
      <w:r w:rsidRPr="000A1160">
        <w:rPr>
          <w:rFonts w:cs="Times New Roman"/>
          <w:szCs w:val="24"/>
          <w:lang w:val="fr-FR"/>
        </w:rPr>
        <w:t xml:space="preserve">Comme l’a souligné la juge </w:t>
      </w:r>
      <w:proofErr w:type="spellStart"/>
      <w:r w:rsidRPr="000A1160">
        <w:rPr>
          <w:rFonts w:cs="Times New Roman"/>
          <w:szCs w:val="24"/>
          <w:lang w:val="fr-FR"/>
        </w:rPr>
        <w:t>Woods</w:t>
      </w:r>
      <w:proofErr w:type="spellEnd"/>
      <w:r w:rsidRPr="000A1160">
        <w:rPr>
          <w:rFonts w:cs="Times New Roman"/>
          <w:szCs w:val="24"/>
          <w:lang w:val="fr-FR"/>
        </w:rPr>
        <w:t> : « La fonction de chacune consiste fondamentalement à gérer les biens » (par. 159).</w:t>
      </w:r>
    </w:p>
    <w:p w:rsidR="004F639D" w:rsidRPr="000A1160" w:rsidRDefault="004F639D" w:rsidP="004F639D">
      <w:pPr>
        <w:pStyle w:val="ParaNoNdepar-AltN"/>
        <w:rPr>
          <w:rFonts w:cs="Times New Roman"/>
          <w:szCs w:val="24"/>
          <w:lang w:val="fr-FR"/>
        </w:rPr>
      </w:pPr>
      <w:r w:rsidRPr="000A1160">
        <w:rPr>
          <w:rFonts w:cs="Times New Roman"/>
          <w:szCs w:val="24"/>
          <w:lang w:val="fr-FR"/>
        </w:rPr>
        <w:t>Tout comme dans le cas des sociétés, il faut déterminer le lieu de résidence d’une fiducie sur la base du principe selon lequel, pour l’application de la Loi, une fiducie réside là où [</w:t>
      </w:r>
      <w:r w:rsidRPr="000A1160">
        <w:rPr>
          <w:rFonts w:cs="Times New Roman"/>
          <w:smallCaps/>
          <w:szCs w:val="24"/>
          <w:lang w:val="fr-FR"/>
        </w:rPr>
        <w:t>traduction</w:t>
      </w:r>
      <w:r w:rsidRPr="000A1160">
        <w:rPr>
          <w:rFonts w:cs="Times New Roman"/>
          <w:szCs w:val="24"/>
          <w:lang w:val="fr-FR"/>
        </w:rPr>
        <w:t>] « sont exercées ses activités véritables » (</w:t>
      </w:r>
      <w:r w:rsidRPr="000A1160">
        <w:rPr>
          <w:rFonts w:cs="Times New Roman"/>
          <w:i/>
          <w:szCs w:val="24"/>
          <w:lang w:val="fr-FR"/>
        </w:rPr>
        <w:t xml:space="preserve">De </w:t>
      </w:r>
      <w:proofErr w:type="spellStart"/>
      <w:r w:rsidRPr="000A1160">
        <w:rPr>
          <w:rFonts w:cs="Times New Roman"/>
          <w:i/>
          <w:szCs w:val="24"/>
          <w:lang w:val="fr-FR"/>
        </w:rPr>
        <w:t>Beers</w:t>
      </w:r>
      <w:proofErr w:type="spellEnd"/>
      <w:r w:rsidRPr="000A1160">
        <w:rPr>
          <w:rFonts w:cs="Times New Roman"/>
          <w:szCs w:val="24"/>
          <w:lang w:val="fr-FR"/>
        </w:rPr>
        <w:t>, p. 458), c’est</w:t>
      </w:r>
      <w:r w:rsidRPr="000A1160">
        <w:rPr>
          <w:rFonts w:cs="Times New Roman"/>
          <w:szCs w:val="24"/>
          <w:lang w:val="fr-FR"/>
        </w:rPr>
        <w:noBreakHyphen/>
      </w:r>
      <w:proofErr w:type="spellStart"/>
      <w:r w:rsidRPr="000A1160">
        <w:rPr>
          <w:rFonts w:cs="Times New Roman"/>
          <w:szCs w:val="24"/>
          <w:lang w:val="fr-FR"/>
        </w:rPr>
        <w:t>à</w:t>
      </w:r>
      <w:r w:rsidRPr="000A1160">
        <w:rPr>
          <w:rFonts w:cs="Times New Roman"/>
          <w:szCs w:val="24"/>
          <w:lang w:val="fr-FR"/>
        </w:rPr>
        <w:noBreakHyphen/>
        <w:t>dire</w:t>
      </w:r>
      <w:proofErr w:type="spellEnd"/>
      <w:r w:rsidRPr="000A1160">
        <w:rPr>
          <w:rFonts w:cs="Times New Roman"/>
          <w:szCs w:val="24"/>
          <w:lang w:val="fr-FR"/>
        </w:rPr>
        <w:t xml:space="preserve"> l’endroit où s’exercent effectivement sa gestion centrale et son contrôle.  Comme il a été indiqué précédemment, la juge de la Cour canadienne de l’impôt a conclu, en fait, que les bénéficiaires principaux exerçaient la gestion centrale et le contrôle des fiducies en cause au Canada.  Elle a jugé que St. Michael ne jouait qu’un rôle limité — prestation de services administratifs — et n’assumait que peu ou pas d’autres responsabilités (par. 189 et 190).  Par conséquent, suivant ce critère, les fiducies en cause doivent être considérées comme des résidents du Canada.  Cela ne signifie pas que le lieu de résidence d’une fiducie ne peut jamais correspondre à celui du fiduciaire.  Dans les cas où le fiduciaire exerce la gestion centrale et le contrôle de la fiducie, le lieu de résidence du fiduciaire sera également celui de la fiducie.  Ce n’est toutefois pas le cas en l’espèce.</w:t>
      </w:r>
    </w:p>
    <w:p w:rsidR="004F639D" w:rsidRPr="000A1160" w:rsidRDefault="004F639D" w:rsidP="004F639D">
      <w:pPr>
        <w:pStyle w:val="ParaNoNdepar-AltN"/>
        <w:rPr>
          <w:rFonts w:cs="Times New Roman"/>
          <w:szCs w:val="24"/>
          <w:lang w:val="fr-FR"/>
        </w:rPr>
      </w:pPr>
      <w:r w:rsidRPr="000A1160">
        <w:rPr>
          <w:rFonts w:cs="Times New Roman"/>
          <w:szCs w:val="24"/>
          <w:lang w:val="fr-FR"/>
        </w:rPr>
        <w:lastRenderedPageBreak/>
        <w:t xml:space="preserve">Nous sommes d’accord avec la juge </w:t>
      </w:r>
      <w:proofErr w:type="spellStart"/>
      <w:r w:rsidRPr="000A1160">
        <w:rPr>
          <w:rFonts w:cs="Times New Roman"/>
          <w:szCs w:val="24"/>
          <w:lang w:val="fr-FR"/>
        </w:rPr>
        <w:t>Woods</w:t>
      </w:r>
      <w:proofErr w:type="spellEnd"/>
      <w:r w:rsidRPr="000A1160">
        <w:rPr>
          <w:rFonts w:cs="Times New Roman"/>
          <w:szCs w:val="24"/>
          <w:lang w:val="fr-FR"/>
        </w:rPr>
        <w:t xml:space="preserve"> pour dire que l’adoption d’un critère de résidence similaire à la fois pour les fiducies et les sociétés favorise le respect « des principes importants d’uniformité, de prévisibilité et d’équité dans l’application du droit fiscal » (par. 160).  Comme l’a signalé la juge, il faudrait de bonnes raisons pour justifier l’application aux fiducies d’un critère entièrement différent de celui applicable aux sociétés.  Or, aucune raison de la sorte n’a été présentée en l’espèce. </w:t>
      </w:r>
    </w:p>
    <w:p w:rsidR="004F639D" w:rsidRPr="000A1160" w:rsidRDefault="004F639D" w:rsidP="004F639D">
      <w:pPr>
        <w:pStyle w:val="ParaNoNdepar-AltN"/>
        <w:rPr>
          <w:rFonts w:cs="Times New Roman"/>
          <w:szCs w:val="24"/>
          <w:lang w:val="fr-FR"/>
        </w:rPr>
      </w:pPr>
      <w:r w:rsidRPr="000A1160">
        <w:rPr>
          <w:rFonts w:cs="Times New Roman"/>
          <w:szCs w:val="24"/>
          <w:lang w:val="fr-FR"/>
        </w:rPr>
        <w:t xml:space="preserve">Pour ces motifs, nous sommes d’avis de rejeter les pourvois avec dépens. </w:t>
      </w:r>
    </w:p>
    <w:p w:rsidR="004F639D" w:rsidRPr="000A1160" w:rsidRDefault="004F639D" w:rsidP="004F639D">
      <w:pPr>
        <w:pStyle w:val="ParaNoNdepar-AltN"/>
        <w:rPr>
          <w:rFonts w:cs="Times New Roman"/>
          <w:szCs w:val="24"/>
          <w:lang w:val="fr-CA"/>
        </w:rPr>
      </w:pPr>
      <w:r w:rsidRPr="000A1160">
        <w:rPr>
          <w:rFonts w:cs="Times New Roman"/>
          <w:szCs w:val="24"/>
          <w:lang w:val="fr-CA"/>
        </w:rPr>
        <w:t xml:space="preserve">Le ministre a également soutenu que les fiducies sont réputées être des résidents du Canada par l’effet de l’art. 94, qui instaure un régime permettant d’imposer les fiducies non résidentes.  Même si, a prétendu le ministre, les fiducies en cause ne sont pas jugées être des résidents du Canada suivant les principes de la </w:t>
      </w:r>
      <w:proofErr w:type="spellStart"/>
      <w:r w:rsidRPr="000A1160">
        <w:rPr>
          <w:rFonts w:cs="Times New Roman"/>
          <w:szCs w:val="24"/>
          <w:lang w:val="fr-CA"/>
        </w:rPr>
        <w:t>common</w:t>
      </w:r>
      <w:proofErr w:type="spellEnd"/>
      <w:r w:rsidRPr="000A1160">
        <w:rPr>
          <w:rFonts w:cs="Times New Roman"/>
          <w:szCs w:val="24"/>
          <w:lang w:val="fr-CA"/>
        </w:rPr>
        <w:t xml:space="preserve"> </w:t>
      </w:r>
      <w:proofErr w:type="spellStart"/>
      <w:r w:rsidRPr="000A1160">
        <w:rPr>
          <w:rFonts w:cs="Times New Roman"/>
          <w:szCs w:val="24"/>
          <w:lang w:val="fr-CA"/>
        </w:rPr>
        <w:t>law</w:t>
      </w:r>
      <w:proofErr w:type="spellEnd"/>
      <w:r w:rsidRPr="000A1160">
        <w:rPr>
          <w:rFonts w:cs="Times New Roman"/>
          <w:szCs w:val="24"/>
          <w:lang w:val="fr-CA"/>
        </w:rPr>
        <w:t xml:space="preserve">, les cotisations qui ont été établies à leur égard sont justifiées car, en vertu de l’art. 94, les fiducies en cause sont réputées être des résidents du Canada pour l’application de la Loi et, en conséquence, des résidents du Canada pour l’application de l’exonération fiscale prévue par le traité.  Enfin, au cas où cet argument supplémentaire ne serait pas retenu, le ministre a plaidé que l’avantage fiscal devrait être refusé conformément à la règle générale </w:t>
      </w:r>
      <w:proofErr w:type="spellStart"/>
      <w:r w:rsidRPr="000A1160">
        <w:rPr>
          <w:rFonts w:cs="Times New Roman"/>
          <w:szCs w:val="24"/>
          <w:lang w:val="fr-CA"/>
        </w:rPr>
        <w:t>anti</w:t>
      </w:r>
      <w:r w:rsidRPr="000A1160">
        <w:rPr>
          <w:rFonts w:cs="Times New Roman"/>
          <w:szCs w:val="24"/>
          <w:lang w:val="fr-CA"/>
        </w:rPr>
        <w:noBreakHyphen/>
        <w:t>évitement</w:t>
      </w:r>
      <w:proofErr w:type="spellEnd"/>
      <w:r w:rsidRPr="000A1160">
        <w:rPr>
          <w:rFonts w:cs="Times New Roman"/>
          <w:szCs w:val="24"/>
          <w:lang w:val="fr-CA"/>
        </w:rPr>
        <w:t xml:space="preserve"> prévue à l’art. 245 de la Loi, parce que le fait d’accorder cet avantage ferait obstacle à la réalisation de l’objet de certains éléments pertinents du traité.</w:t>
      </w:r>
    </w:p>
    <w:p w:rsidR="004F639D" w:rsidRPr="000A1160" w:rsidRDefault="004F639D" w:rsidP="004F639D">
      <w:pPr>
        <w:pStyle w:val="ParaNoNdepar-AltN"/>
        <w:rPr>
          <w:rFonts w:cs="Times New Roman"/>
          <w:szCs w:val="24"/>
          <w:lang w:val="fr-CA"/>
        </w:rPr>
      </w:pPr>
      <w:r w:rsidRPr="000A1160">
        <w:rPr>
          <w:rFonts w:cs="Times New Roman"/>
          <w:szCs w:val="24"/>
          <w:lang w:val="fr-CA"/>
        </w:rPr>
        <w:lastRenderedPageBreak/>
        <w:t xml:space="preserve">Vu notre conclusion que les fiducies en cause sont des résidents du Canada suivant les principes de la </w:t>
      </w:r>
      <w:proofErr w:type="spellStart"/>
      <w:r w:rsidRPr="000A1160">
        <w:rPr>
          <w:rFonts w:cs="Times New Roman"/>
          <w:szCs w:val="24"/>
          <w:lang w:val="fr-CA"/>
        </w:rPr>
        <w:t>common</w:t>
      </w:r>
      <w:proofErr w:type="spellEnd"/>
      <w:r w:rsidRPr="000A1160">
        <w:rPr>
          <w:rFonts w:cs="Times New Roman"/>
          <w:szCs w:val="24"/>
          <w:lang w:val="fr-CA"/>
        </w:rPr>
        <w:t xml:space="preserve"> </w:t>
      </w:r>
      <w:proofErr w:type="spellStart"/>
      <w:r w:rsidRPr="000A1160">
        <w:rPr>
          <w:rFonts w:cs="Times New Roman"/>
          <w:szCs w:val="24"/>
          <w:lang w:val="fr-CA"/>
        </w:rPr>
        <w:t>law</w:t>
      </w:r>
      <w:proofErr w:type="spellEnd"/>
      <w:r w:rsidRPr="000A1160">
        <w:rPr>
          <w:rFonts w:cs="Times New Roman"/>
          <w:szCs w:val="24"/>
          <w:lang w:val="fr-CA"/>
        </w:rPr>
        <w:t>, il n’est pas nécessaire</w:t>
      </w:r>
      <w:r w:rsidRPr="000A1160">
        <w:rPr>
          <w:rFonts w:cs="Times New Roman"/>
          <w:szCs w:val="24"/>
          <w:lang w:val="fr-FR"/>
        </w:rPr>
        <w:t xml:space="preserve"> </w:t>
      </w:r>
      <w:r w:rsidRPr="000A1160">
        <w:rPr>
          <w:rFonts w:cs="Times New Roman"/>
          <w:szCs w:val="24"/>
          <w:lang w:val="fr-CA"/>
        </w:rPr>
        <w:t xml:space="preserve">d’examiner les arguments fondés sur </w:t>
      </w:r>
      <w:proofErr w:type="gramStart"/>
      <w:r w:rsidRPr="000A1160">
        <w:rPr>
          <w:rFonts w:cs="Times New Roman"/>
          <w:szCs w:val="24"/>
          <w:lang w:val="fr-CA"/>
        </w:rPr>
        <w:t>les art</w:t>
      </w:r>
      <w:proofErr w:type="gramEnd"/>
      <w:r w:rsidRPr="000A1160">
        <w:rPr>
          <w:rFonts w:cs="Times New Roman"/>
          <w:szCs w:val="24"/>
          <w:lang w:val="fr-CA"/>
        </w:rPr>
        <w:t>. 94 et 245 de la Loi.  Il ne faut toutefois pas considérer que nous souscrivons aux motifs de la Cour d’appel fédérale sur ces points.</w:t>
      </w:r>
    </w:p>
    <w:p w:rsidR="0033393C" w:rsidRPr="000A1160" w:rsidRDefault="0033393C" w:rsidP="003427BD">
      <w:pPr>
        <w:pStyle w:val="SCCNormalDoubleSpacing"/>
        <w:spacing w:after="480"/>
        <w:rPr>
          <w:szCs w:val="24"/>
        </w:rPr>
      </w:pPr>
      <w:r w:rsidRPr="000A1160">
        <w:rPr>
          <w:szCs w:val="24"/>
        </w:rPr>
        <w:tab/>
      </w:r>
      <w:r w:rsidR="00597066" w:rsidRPr="000A1160">
        <w:rPr>
          <w:i/>
          <w:szCs w:val="24"/>
        </w:rPr>
        <w:t>Pourvoi</w:t>
      </w:r>
      <w:r w:rsidR="008614F4" w:rsidRPr="000A1160">
        <w:rPr>
          <w:i/>
          <w:szCs w:val="24"/>
        </w:rPr>
        <w:t>s</w:t>
      </w:r>
      <w:r w:rsidR="00597066" w:rsidRPr="000A1160">
        <w:rPr>
          <w:i/>
          <w:szCs w:val="24"/>
        </w:rPr>
        <w:t xml:space="preserve"> rejeté</w:t>
      </w:r>
      <w:r w:rsidR="008614F4" w:rsidRPr="000A1160">
        <w:rPr>
          <w:i/>
          <w:szCs w:val="24"/>
        </w:rPr>
        <w:t>s</w:t>
      </w:r>
      <w:r w:rsidR="00597066" w:rsidRPr="000A1160">
        <w:rPr>
          <w:i/>
          <w:szCs w:val="24"/>
        </w:rPr>
        <w:t xml:space="preserve"> avec dépens</w:t>
      </w:r>
      <w:r w:rsidR="00186B92" w:rsidRPr="000A1160">
        <w:rPr>
          <w:i/>
          <w:szCs w:val="24"/>
        </w:rPr>
        <w:t xml:space="preserve">. </w:t>
      </w:r>
    </w:p>
    <w:p w:rsidR="00597066" w:rsidRPr="000A1160" w:rsidRDefault="00597066" w:rsidP="003427BD">
      <w:pPr>
        <w:pStyle w:val="SCCLawFirm"/>
        <w:spacing w:after="480"/>
        <w:rPr>
          <w:szCs w:val="24"/>
        </w:rPr>
      </w:pPr>
      <w:r w:rsidRPr="000A1160">
        <w:rPr>
          <w:szCs w:val="24"/>
        </w:rPr>
        <w:tab/>
        <w:t>Procureurs des appelantes</w:t>
      </w:r>
      <w:r w:rsidR="00FE175C" w:rsidRPr="000A1160">
        <w:rPr>
          <w:szCs w:val="24"/>
        </w:rPr>
        <w:t> :</w:t>
      </w:r>
      <w:r w:rsidR="000674A8" w:rsidRPr="000A1160">
        <w:rPr>
          <w:szCs w:val="24"/>
        </w:rPr>
        <w:t> </w:t>
      </w:r>
      <w:proofErr w:type="spellStart"/>
      <w:r w:rsidRPr="000A1160">
        <w:rPr>
          <w:szCs w:val="24"/>
        </w:rPr>
        <w:t>Thorsteinssons</w:t>
      </w:r>
      <w:proofErr w:type="spellEnd"/>
      <w:r w:rsidRPr="000A1160">
        <w:rPr>
          <w:szCs w:val="24"/>
        </w:rPr>
        <w:t>, Toronto</w:t>
      </w:r>
      <w:r w:rsidR="00186B92" w:rsidRPr="000A1160">
        <w:rPr>
          <w:szCs w:val="24"/>
        </w:rPr>
        <w:t xml:space="preserve">. </w:t>
      </w:r>
    </w:p>
    <w:p w:rsidR="00597066" w:rsidRPr="000A1160" w:rsidRDefault="00597066" w:rsidP="00597066">
      <w:pPr>
        <w:pStyle w:val="SCCLawFirm"/>
        <w:rPr>
          <w:szCs w:val="24"/>
        </w:rPr>
      </w:pPr>
      <w:r w:rsidRPr="000A1160">
        <w:rPr>
          <w:szCs w:val="24"/>
        </w:rPr>
        <w:tab/>
        <w:t>Procureur de l</w:t>
      </w:r>
      <w:r w:rsidR="00651C6C" w:rsidRPr="000A1160">
        <w:rPr>
          <w:szCs w:val="24"/>
        </w:rPr>
        <w:t>’</w:t>
      </w:r>
      <w:r w:rsidRPr="000A1160">
        <w:rPr>
          <w:szCs w:val="24"/>
        </w:rPr>
        <w:t>intimée</w:t>
      </w:r>
      <w:r w:rsidR="00FE175C" w:rsidRPr="000A1160">
        <w:rPr>
          <w:szCs w:val="24"/>
        </w:rPr>
        <w:t> :</w:t>
      </w:r>
      <w:r w:rsidR="000674A8" w:rsidRPr="000A1160">
        <w:rPr>
          <w:szCs w:val="24"/>
        </w:rPr>
        <w:t> </w:t>
      </w:r>
      <w:r w:rsidRPr="000A1160">
        <w:rPr>
          <w:szCs w:val="24"/>
        </w:rPr>
        <w:t>Procureur général du Canada, Ottawa</w:t>
      </w:r>
      <w:r w:rsidR="00186B92" w:rsidRPr="000A1160">
        <w:rPr>
          <w:szCs w:val="24"/>
        </w:rPr>
        <w:t xml:space="preserve">. </w:t>
      </w:r>
    </w:p>
    <w:p w:rsidR="0043088E" w:rsidRPr="000A1160" w:rsidRDefault="0043088E" w:rsidP="0043088E">
      <w:pPr>
        <w:rPr>
          <w:szCs w:val="24"/>
        </w:rPr>
      </w:pPr>
    </w:p>
    <w:sectPr w:rsidR="0043088E" w:rsidRPr="000A1160" w:rsidSect="001C177B">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D2B" w:rsidRDefault="00305D2B">
      <w:r>
        <w:separator/>
      </w:r>
    </w:p>
  </w:endnote>
  <w:endnote w:type="continuationSeparator" w:id="0">
    <w:p w:rsidR="00305D2B" w:rsidRDefault="00305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2B" w:rsidRDefault="00305D2B">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2B" w:rsidRDefault="00305D2B">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D2B" w:rsidRDefault="00305D2B">
      <w:r>
        <w:separator/>
      </w:r>
    </w:p>
  </w:footnote>
  <w:footnote w:type="continuationSeparator" w:id="0">
    <w:p w:rsidR="00305D2B" w:rsidRDefault="00305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2B" w:rsidRDefault="00305D2B">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1752"/>
      <w:docPartObj>
        <w:docPartGallery w:val="Page Numbers (Top of Page)"/>
        <w:docPartUnique/>
      </w:docPartObj>
    </w:sdtPr>
    <w:sdtContent>
      <w:p w:rsidR="00305D2B" w:rsidRDefault="00305D2B">
        <w:pPr>
          <w:pStyle w:val="Header"/>
          <w:jc w:val="center"/>
        </w:pPr>
        <w:r>
          <w:t xml:space="preserve">- </w:t>
        </w:r>
        <w:fldSimple w:instr=" PAGE   \* MERGEFORMAT ">
          <w:r w:rsidR="00A74F43">
            <w:rPr>
              <w:noProof/>
            </w:rPr>
            <w:t>2</w:t>
          </w:r>
        </w:fldSimple>
        <w:r>
          <w:t xml:space="preserve"> -</w:t>
        </w:r>
      </w:p>
    </w:sdtContent>
  </w:sdt>
  <w:p w:rsidR="00305D2B" w:rsidRDefault="00305D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D02EE"/>
    <w:multiLevelType w:val="hybridMultilevel"/>
    <w:tmpl w:val="C18CADAA"/>
    <w:lvl w:ilvl="0" w:tplc="52DA0C28">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9329"/>
  </w:hdrShapeDefaults>
  <w:footnotePr>
    <w:footnote w:id="-1"/>
    <w:footnote w:id="0"/>
  </w:footnotePr>
  <w:endnotePr>
    <w:endnote w:id="-1"/>
    <w:endnote w:id="0"/>
  </w:endnotePr>
  <w:compat/>
  <w:rsids>
    <w:rsidRoot w:val="0031414C"/>
    <w:rsid w:val="00004A29"/>
    <w:rsid w:val="00025198"/>
    <w:rsid w:val="00055A36"/>
    <w:rsid w:val="000578A3"/>
    <w:rsid w:val="00064563"/>
    <w:rsid w:val="000648CC"/>
    <w:rsid w:val="000674A8"/>
    <w:rsid w:val="00075294"/>
    <w:rsid w:val="00094DE0"/>
    <w:rsid w:val="000A1160"/>
    <w:rsid w:val="000A5321"/>
    <w:rsid w:val="000C59B8"/>
    <w:rsid w:val="000E5663"/>
    <w:rsid w:val="000E6EF6"/>
    <w:rsid w:val="000F00B7"/>
    <w:rsid w:val="00111DE2"/>
    <w:rsid w:val="00116B38"/>
    <w:rsid w:val="0013109F"/>
    <w:rsid w:val="00135406"/>
    <w:rsid w:val="00135972"/>
    <w:rsid w:val="00140667"/>
    <w:rsid w:val="001426A9"/>
    <w:rsid w:val="00154D7C"/>
    <w:rsid w:val="00155B74"/>
    <w:rsid w:val="001570B0"/>
    <w:rsid w:val="00172A04"/>
    <w:rsid w:val="00175A97"/>
    <w:rsid w:val="00185394"/>
    <w:rsid w:val="00186B92"/>
    <w:rsid w:val="001A451D"/>
    <w:rsid w:val="001B33E0"/>
    <w:rsid w:val="001B4573"/>
    <w:rsid w:val="001C177B"/>
    <w:rsid w:val="001C779F"/>
    <w:rsid w:val="001D181A"/>
    <w:rsid w:val="001D2AC1"/>
    <w:rsid w:val="001E1ACB"/>
    <w:rsid w:val="001E1C9C"/>
    <w:rsid w:val="001F7673"/>
    <w:rsid w:val="00220FC2"/>
    <w:rsid w:val="00224FC0"/>
    <w:rsid w:val="00225EA4"/>
    <w:rsid w:val="00226EAF"/>
    <w:rsid w:val="00231F3A"/>
    <w:rsid w:val="002406EE"/>
    <w:rsid w:val="0024693E"/>
    <w:rsid w:val="002745CC"/>
    <w:rsid w:val="00292304"/>
    <w:rsid w:val="002B32FF"/>
    <w:rsid w:val="002D39A4"/>
    <w:rsid w:val="002E6705"/>
    <w:rsid w:val="002F696C"/>
    <w:rsid w:val="0030329A"/>
    <w:rsid w:val="00305D2B"/>
    <w:rsid w:val="00307AFD"/>
    <w:rsid w:val="0031086F"/>
    <w:rsid w:val="00310E05"/>
    <w:rsid w:val="00313AF0"/>
    <w:rsid w:val="0031414C"/>
    <w:rsid w:val="00314E01"/>
    <w:rsid w:val="0032089D"/>
    <w:rsid w:val="003247CA"/>
    <w:rsid w:val="0033393C"/>
    <w:rsid w:val="003427BD"/>
    <w:rsid w:val="0034770C"/>
    <w:rsid w:val="00351234"/>
    <w:rsid w:val="0035259D"/>
    <w:rsid w:val="003866EC"/>
    <w:rsid w:val="00394476"/>
    <w:rsid w:val="003A2788"/>
    <w:rsid w:val="003A40EE"/>
    <w:rsid w:val="003A4C70"/>
    <w:rsid w:val="003A4E15"/>
    <w:rsid w:val="003B3096"/>
    <w:rsid w:val="003C5958"/>
    <w:rsid w:val="003C799C"/>
    <w:rsid w:val="003E1C71"/>
    <w:rsid w:val="003F327B"/>
    <w:rsid w:val="0040046F"/>
    <w:rsid w:val="004059A7"/>
    <w:rsid w:val="00406166"/>
    <w:rsid w:val="00411300"/>
    <w:rsid w:val="00426659"/>
    <w:rsid w:val="0043088E"/>
    <w:rsid w:val="004439D8"/>
    <w:rsid w:val="00465132"/>
    <w:rsid w:val="00480C90"/>
    <w:rsid w:val="0048396F"/>
    <w:rsid w:val="00493C18"/>
    <w:rsid w:val="00494CDC"/>
    <w:rsid w:val="004A1C4A"/>
    <w:rsid w:val="004A600C"/>
    <w:rsid w:val="004B42F2"/>
    <w:rsid w:val="004C478D"/>
    <w:rsid w:val="004D7504"/>
    <w:rsid w:val="004E6A2C"/>
    <w:rsid w:val="004F639D"/>
    <w:rsid w:val="00521AE8"/>
    <w:rsid w:val="00527180"/>
    <w:rsid w:val="00536719"/>
    <w:rsid w:val="00537794"/>
    <w:rsid w:val="005564A7"/>
    <w:rsid w:val="00562F3E"/>
    <w:rsid w:val="00597066"/>
    <w:rsid w:val="005E4698"/>
    <w:rsid w:val="005F1AB8"/>
    <w:rsid w:val="00625C35"/>
    <w:rsid w:val="00634E1B"/>
    <w:rsid w:val="00645057"/>
    <w:rsid w:val="00651C6C"/>
    <w:rsid w:val="00653B03"/>
    <w:rsid w:val="00654858"/>
    <w:rsid w:val="006565F4"/>
    <w:rsid w:val="006653E2"/>
    <w:rsid w:val="00672EF9"/>
    <w:rsid w:val="006749E9"/>
    <w:rsid w:val="00681AD1"/>
    <w:rsid w:val="006827FF"/>
    <w:rsid w:val="006A0505"/>
    <w:rsid w:val="006A4EC1"/>
    <w:rsid w:val="006A56F1"/>
    <w:rsid w:val="006B5FF5"/>
    <w:rsid w:val="006C5661"/>
    <w:rsid w:val="006D4790"/>
    <w:rsid w:val="006D6534"/>
    <w:rsid w:val="006E7AEC"/>
    <w:rsid w:val="00701759"/>
    <w:rsid w:val="00702C6F"/>
    <w:rsid w:val="0070736E"/>
    <w:rsid w:val="007327FE"/>
    <w:rsid w:val="00747288"/>
    <w:rsid w:val="00747DD3"/>
    <w:rsid w:val="00752F4E"/>
    <w:rsid w:val="007549C8"/>
    <w:rsid w:val="00762D30"/>
    <w:rsid w:val="00763377"/>
    <w:rsid w:val="00766D14"/>
    <w:rsid w:val="00767A0F"/>
    <w:rsid w:val="00774EB1"/>
    <w:rsid w:val="007834A8"/>
    <w:rsid w:val="007923BA"/>
    <w:rsid w:val="0079358A"/>
    <w:rsid w:val="007A05F6"/>
    <w:rsid w:val="007B6F4A"/>
    <w:rsid w:val="007E1C47"/>
    <w:rsid w:val="007E337A"/>
    <w:rsid w:val="007E5C70"/>
    <w:rsid w:val="007E7D96"/>
    <w:rsid w:val="007F2FF5"/>
    <w:rsid w:val="00804D30"/>
    <w:rsid w:val="00817190"/>
    <w:rsid w:val="00825136"/>
    <w:rsid w:val="008318C3"/>
    <w:rsid w:val="008322BD"/>
    <w:rsid w:val="00855307"/>
    <w:rsid w:val="008614F4"/>
    <w:rsid w:val="00862CF3"/>
    <w:rsid w:val="00864CF8"/>
    <w:rsid w:val="00874914"/>
    <w:rsid w:val="00892E1A"/>
    <w:rsid w:val="008958F5"/>
    <w:rsid w:val="008A6558"/>
    <w:rsid w:val="008A727C"/>
    <w:rsid w:val="008B1E19"/>
    <w:rsid w:val="008C01DA"/>
    <w:rsid w:val="008C5507"/>
    <w:rsid w:val="008D5337"/>
    <w:rsid w:val="008F16D9"/>
    <w:rsid w:val="008F78E9"/>
    <w:rsid w:val="00902462"/>
    <w:rsid w:val="009403F3"/>
    <w:rsid w:val="00946602"/>
    <w:rsid w:val="00957FA2"/>
    <w:rsid w:val="00966913"/>
    <w:rsid w:val="00967374"/>
    <w:rsid w:val="0097543E"/>
    <w:rsid w:val="00983F3F"/>
    <w:rsid w:val="00985C69"/>
    <w:rsid w:val="0099079B"/>
    <w:rsid w:val="009A6531"/>
    <w:rsid w:val="009B2F23"/>
    <w:rsid w:val="009B53E2"/>
    <w:rsid w:val="009B5544"/>
    <w:rsid w:val="009B57B3"/>
    <w:rsid w:val="009D5AEB"/>
    <w:rsid w:val="009F383F"/>
    <w:rsid w:val="009F4389"/>
    <w:rsid w:val="00A05F0E"/>
    <w:rsid w:val="00A2058D"/>
    <w:rsid w:val="00A21107"/>
    <w:rsid w:val="00A21B90"/>
    <w:rsid w:val="00A24E15"/>
    <w:rsid w:val="00A34259"/>
    <w:rsid w:val="00A37FF6"/>
    <w:rsid w:val="00A548CB"/>
    <w:rsid w:val="00A6242E"/>
    <w:rsid w:val="00A643E7"/>
    <w:rsid w:val="00A65F72"/>
    <w:rsid w:val="00A73C38"/>
    <w:rsid w:val="00A74F43"/>
    <w:rsid w:val="00A81E1A"/>
    <w:rsid w:val="00A863FD"/>
    <w:rsid w:val="00A91750"/>
    <w:rsid w:val="00AA5F1F"/>
    <w:rsid w:val="00AC2D6E"/>
    <w:rsid w:val="00AC6322"/>
    <w:rsid w:val="00AC7437"/>
    <w:rsid w:val="00AC7A44"/>
    <w:rsid w:val="00AD5C8F"/>
    <w:rsid w:val="00AF03C5"/>
    <w:rsid w:val="00B000D8"/>
    <w:rsid w:val="00B00F75"/>
    <w:rsid w:val="00B145B6"/>
    <w:rsid w:val="00B165DF"/>
    <w:rsid w:val="00B40067"/>
    <w:rsid w:val="00B441BC"/>
    <w:rsid w:val="00B50C81"/>
    <w:rsid w:val="00B557F8"/>
    <w:rsid w:val="00B64972"/>
    <w:rsid w:val="00B66DD8"/>
    <w:rsid w:val="00B8145D"/>
    <w:rsid w:val="00B815FC"/>
    <w:rsid w:val="00B93FBC"/>
    <w:rsid w:val="00BD6D65"/>
    <w:rsid w:val="00BE0CE3"/>
    <w:rsid w:val="00C02092"/>
    <w:rsid w:val="00C057F7"/>
    <w:rsid w:val="00C0663B"/>
    <w:rsid w:val="00C24C8C"/>
    <w:rsid w:val="00C24D91"/>
    <w:rsid w:val="00C52532"/>
    <w:rsid w:val="00C53F14"/>
    <w:rsid w:val="00C55608"/>
    <w:rsid w:val="00C55C2E"/>
    <w:rsid w:val="00C600CF"/>
    <w:rsid w:val="00C6084F"/>
    <w:rsid w:val="00C62A66"/>
    <w:rsid w:val="00C62A6F"/>
    <w:rsid w:val="00C67B22"/>
    <w:rsid w:val="00C67CA5"/>
    <w:rsid w:val="00C71458"/>
    <w:rsid w:val="00C71F58"/>
    <w:rsid w:val="00C77613"/>
    <w:rsid w:val="00C817D6"/>
    <w:rsid w:val="00C828E7"/>
    <w:rsid w:val="00C87C92"/>
    <w:rsid w:val="00C921DD"/>
    <w:rsid w:val="00C94891"/>
    <w:rsid w:val="00CA4D82"/>
    <w:rsid w:val="00CA6391"/>
    <w:rsid w:val="00CB60F9"/>
    <w:rsid w:val="00CE19B4"/>
    <w:rsid w:val="00CE3171"/>
    <w:rsid w:val="00CF1601"/>
    <w:rsid w:val="00D070A7"/>
    <w:rsid w:val="00D1178B"/>
    <w:rsid w:val="00D32086"/>
    <w:rsid w:val="00D37A3F"/>
    <w:rsid w:val="00D45FCF"/>
    <w:rsid w:val="00D4667A"/>
    <w:rsid w:val="00D510BB"/>
    <w:rsid w:val="00D5435D"/>
    <w:rsid w:val="00D74F2E"/>
    <w:rsid w:val="00D849D9"/>
    <w:rsid w:val="00D97505"/>
    <w:rsid w:val="00DA0590"/>
    <w:rsid w:val="00DB2789"/>
    <w:rsid w:val="00DC1788"/>
    <w:rsid w:val="00DC22B6"/>
    <w:rsid w:val="00DF0CA8"/>
    <w:rsid w:val="00DF49A7"/>
    <w:rsid w:val="00E01106"/>
    <w:rsid w:val="00E02507"/>
    <w:rsid w:val="00E07EE2"/>
    <w:rsid w:val="00E16199"/>
    <w:rsid w:val="00E24573"/>
    <w:rsid w:val="00E377A1"/>
    <w:rsid w:val="00E45109"/>
    <w:rsid w:val="00E54B02"/>
    <w:rsid w:val="00E753CB"/>
    <w:rsid w:val="00E97830"/>
    <w:rsid w:val="00EA03E5"/>
    <w:rsid w:val="00ED0CD5"/>
    <w:rsid w:val="00ED2225"/>
    <w:rsid w:val="00EE0FAF"/>
    <w:rsid w:val="00F00EB7"/>
    <w:rsid w:val="00F01462"/>
    <w:rsid w:val="00F024BE"/>
    <w:rsid w:val="00F1700D"/>
    <w:rsid w:val="00F2258E"/>
    <w:rsid w:val="00F33658"/>
    <w:rsid w:val="00F36117"/>
    <w:rsid w:val="00F36AB6"/>
    <w:rsid w:val="00F409CE"/>
    <w:rsid w:val="00F447E2"/>
    <w:rsid w:val="00F549D8"/>
    <w:rsid w:val="00F642FC"/>
    <w:rsid w:val="00F84DF4"/>
    <w:rsid w:val="00F853FB"/>
    <w:rsid w:val="00F85C97"/>
    <w:rsid w:val="00FA2FE1"/>
    <w:rsid w:val="00FA4EE5"/>
    <w:rsid w:val="00FC606D"/>
    <w:rsid w:val="00FC6D80"/>
    <w:rsid w:val="00FD068D"/>
    <w:rsid w:val="00FD4F28"/>
    <w:rsid w:val="00FD7C08"/>
    <w:rsid w:val="00FE175C"/>
    <w:rsid w:val="00FE2574"/>
    <w:rsid w:val="00FE4B4D"/>
    <w:rsid w:val="00FE6784"/>
    <w:rsid w:val="00FF5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BE0CE3"/>
    <w:pPr>
      <w:ind w:left="720"/>
      <w:contextualSpacing/>
    </w:pPr>
  </w:style>
  <w:style w:type="table" w:styleId="TableGrid">
    <w:name w:val="Table Grid"/>
    <w:basedOn w:val="TableNormal"/>
    <w:uiPriority w:val="59"/>
    <w:rsid w:val="004F63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4F639D"/>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4F639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4F639D"/>
    <w:pPr>
      <w:tabs>
        <w:tab w:val="left" w:pos="1166"/>
      </w:tabs>
      <w:spacing w:after="480" w:line="480" w:lineRule="auto"/>
    </w:pPr>
    <w:rPr>
      <w:smallCaps/>
      <w:sz w:val="24"/>
    </w:rPr>
  </w:style>
  <w:style w:type="paragraph" w:customStyle="1" w:styleId="ParaNoNdepar-AltN">
    <w:name w:val="Para. No. / Nº de par. - Alt N"/>
    <w:qFormat/>
    <w:rsid w:val="004F639D"/>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2799</Words>
  <Characters>14293</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2012-05-07T15:06:00Z</dcterms:created>
  <dcterms:modified xsi:type="dcterms:W3CDTF">2012-09-13T18:50:00Z</dcterms:modified>
</cp:coreProperties>
</file>