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202" w:rsidRPr="00800A2E" w:rsidRDefault="00D93202" w:rsidP="00D93202">
      <w:pPr>
        <w:tabs>
          <w:tab w:val="center" w:pos="4680"/>
          <w:tab w:val="right" w:pos="9360"/>
        </w:tabs>
        <w:jc w:val="center"/>
        <w:rPr>
          <w:rFonts w:eastAsiaTheme="minorHAnsi" w:cstheme="minorBidi"/>
          <w:szCs w:val="24"/>
          <w:lang w:eastAsia="en-US"/>
        </w:rPr>
      </w:pPr>
      <w:r w:rsidRPr="00800A2E">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64.8pt" o:ole="">
            <v:imagedata r:id="rId8" o:title=""/>
          </v:shape>
          <o:OLEObject Type="Embed" ProgID="Presentations.Drawing.13" ShapeID="_x0000_i1025" DrawAspect="Content" ObjectID="_1423294673" r:id="rId9"/>
        </w:object>
      </w:r>
    </w:p>
    <w:p w:rsidR="00D93202" w:rsidRPr="00800A2E" w:rsidRDefault="00D93202" w:rsidP="00D93202">
      <w:pPr>
        <w:tabs>
          <w:tab w:val="center" w:pos="4680"/>
          <w:tab w:val="right" w:pos="9360"/>
        </w:tabs>
        <w:rPr>
          <w:rFonts w:eastAsiaTheme="minorHAnsi" w:cstheme="minorBidi"/>
          <w:szCs w:val="24"/>
          <w:lang w:eastAsia="en-US"/>
        </w:rPr>
      </w:pPr>
    </w:p>
    <w:p w:rsidR="00D93202" w:rsidRPr="00800A2E" w:rsidRDefault="00D93202" w:rsidP="00D93202">
      <w:pPr>
        <w:jc w:val="center"/>
        <w:rPr>
          <w:rFonts w:eastAsiaTheme="minorHAnsi" w:cstheme="minorBidi"/>
          <w:b/>
          <w:szCs w:val="24"/>
          <w:lang w:eastAsia="en-US"/>
        </w:rPr>
      </w:pPr>
      <w:r w:rsidRPr="00800A2E">
        <w:rPr>
          <w:rFonts w:eastAsiaTheme="minorHAnsi" w:cstheme="minorBidi"/>
          <w:b/>
          <w:szCs w:val="24"/>
          <w:lang w:eastAsia="en-US"/>
        </w:rPr>
        <w:t>COUR SUPRÊME DU CANADA</w:t>
      </w:r>
    </w:p>
    <w:p w:rsidR="00D93202" w:rsidRPr="00800A2E" w:rsidRDefault="00D93202" w:rsidP="00D93202">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93202" w:rsidRPr="00800A2E" w:rsidTr="00D01C12">
        <w:trPr>
          <w:cantSplit/>
        </w:trPr>
        <w:tc>
          <w:tcPr>
            <w:tcW w:w="6768" w:type="dxa"/>
          </w:tcPr>
          <w:p w:rsidR="00D93202" w:rsidRPr="00800A2E" w:rsidRDefault="00D93202" w:rsidP="00D01C12">
            <w:r w:rsidRPr="00800A2E">
              <w:rPr>
                <w:b/>
                <w:smallCaps/>
              </w:rPr>
              <w:t>Référence :</w:t>
            </w:r>
            <w:r w:rsidRPr="00800A2E">
              <w:t xml:space="preserve"> R. </w:t>
            </w:r>
            <w:r w:rsidRPr="00800A2E">
              <w:rPr>
                <w:i/>
              </w:rPr>
              <w:t>c.</w:t>
            </w:r>
            <w:r w:rsidRPr="00800A2E">
              <w:t xml:space="preserve"> Gibbons</w:t>
            </w:r>
            <w:r>
              <w:t xml:space="preserve">, </w:t>
            </w:r>
            <w:r>
              <w:rPr>
                <w:szCs w:val="24"/>
              </w:rPr>
              <w:t>2012 CSC 28, [2012] 2 R.C.S. 92</w:t>
            </w:r>
          </w:p>
        </w:tc>
        <w:tc>
          <w:tcPr>
            <w:tcW w:w="2808" w:type="dxa"/>
          </w:tcPr>
          <w:p w:rsidR="00D93202" w:rsidRPr="00800A2E" w:rsidRDefault="00D93202" w:rsidP="00D01C12">
            <w:r w:rsidRPr="00800A2E">
              <w:rPr>
                <w:b/>
                <w:smallCaps/>
              </w:rPr>
              <w:t>Date :</w:t>
            </w:r>
            <w:r w:rsidRPr="00800A2E">
              <w:t xml:space="preserve"> 20120608</w:t>
            </w:r>
          </w:p>
          <w:p w:rsidR="00D93202" w:rsidRPr="00800A2E" w:rsidRDefault="00D93202" w:rsidP="00D01C12">
            <w:r w:rsidRPr="00800A2E">
              <w:rPr>
                <w:b/>
                <w:smallCaps/>
              </w:rPr>
              <w:t>Dossier :</w:t>
            </w:r>
            <w:r w:rsidRPr="00800A2E">
              <w:t xml:space="preserve"> 33813</w:t>
            </w:r>
          </w:p>
        </w:tc>
      </w:tr>
    </w:tbl>
    <w:p w:rsidR="00D93202" w:rsidRPr="00800A2E" w:rsidRDefault="00D93202" w:rsidP="00D93202">
      <w:pPr>
        <w:rPr>
          <w:rFonts w:eastAsiaTheme="minorHAnsi" w:cstheme="minorBidi"/>
          <w:szCs w:val="24"/>
          <w:lang w:eastAsia="en-US"/>
        </w:rPr>
      </w:pPr>
    </w:p>
    <w:p w:rsidR="00D93202" w:rsidRPr="00800A2E" w:rsidRDefault="00D93202" w:rsidP="00D93202">
      <w:pPr>
        <w:rPr>
          <w:rFonts w:eastAsiaTheme="minorHAnsi" w:cstheme="minorBidi"/>
          <w:b/>
          <w:smallCaps/>
          <w:szCs w:val="24"/>
          <w:lang w:eastAsia="en-US"/>
        </w:rPr>
      </w:pPr>
      <w:r w:rsidRPr="00800A2E">
        <w:rPr>
          <w:rFonts w:eastAsiaTheme="minorHAnsi" w:cstheme="minorBidi"/>
          <w:b/>
          <w:smallCaps/>
          <w:szCs w:val="24"/>
          <w:lang w:eastAsia="en-US"/>
        </w:rPr>
        <w:t>Entre :</w:t>
      </w:r>
    </w:p>
    <w:p w:rsidR="00D93202" w:rsidRPr="00800A2E" w:rsidRDefault="00D93202" w:rsidP="00D93202">
      <w:pPr>
        <w:jc w:val="center"/>
        <w:rPr>
          <w:rFonts w:eastAsiaTheme="minorHAnsi" w:cstheme="minorBidi"/>
          <w:b/>
          <w:szCs w:val="24"/>
          <w:lang w:eastAsia="en-US"/>
        </w:rPr>
      </w:pPr>
      <w:r w:rsidRPr="00800A2E">
        <w:rPr>
          <w:rFonts w:eastAsiaTheme="minorHAnsi" w:cstheme="minorBidi"/>
          <w:b/>
          <w:szCs w:val="24"/>
          <w:lang w:eastAsia="en-US"/>
        </w:rPr>
        <w:t>Linda Dale Gibbons</w:t>
      </w:r>
    </w:p>
    <w:p w:rsidR="00D93202" w:rsidRPr="00800A2E" w:rsidRDefault="00D93202" w:rsidP="00D93202">
      <w:pPr>
        <w:jc w:val="center"/>
        <w:rPr>
          <w:rFonts w:eastAsiaTheme="minorHAnsi" w:cstheme="minorBidi"/>
          <w:szCs w:val="24"/>
          <w:lang w:eastAsia="en-US"/>
        </w:rPr>
      </w:pPr>
      <w:r>
        <w:rPr>
          <w:rFonts w:eastAsiaTheme="minorHAnsi" w:cstheme="minorBidi"/>
          <w:szCs w:val="24"/>
          <w:lang w:eastAsia="en-US"/>
        </w:rPr>
        <w:t>Appelante</w:t>
      </w:r>
    </w:p>
    <w:p w:rsidR="00D93202" w:rsidRPr="00800A2E" w:rsidRDefault="00D93202" w:rsidP="00D93202">
      <w:pPr>
        <w:jc w:val="center"/>
        <w:rPr>
          <w:rFonts w:eastAsiaTheme="minorHAnsi" w:cstheme="minorBidi"/>
          <w:szCs w:val="24"/>
          <w:lang w:eastAsia="en-US"/>
        </w:rPr>
      </w:pPr>
      <w:proofErr w:type="gramStart"/>
      <w:r w:rsidRPr="00800A2E">
        <w:rPr>
          <w:rFonts w:eastAsiaTheme="minorHAnsi" w:cstheme="minorBidi"/>
          <w:szCs w:val="24"/>
          <w:lang w:eastAsia="en-US"/>
        </w:rPr>
        <w:t>et</w:t>
      </w:r>
      <w:proofErr w:type="gramEnd"/>
    </w:p>
    <w:p w:rsidR="00D93202" w:rsidRPr="00800A2E" w:rsidRDefault="00D93202" w:rsidP="00D93202">
      <w:pPr>
        <w:jc w:val="center"/>
        <w:rPr>
          <w:rFonts w:eastAsiaTheme="minorHAnsi" w:cstheme="minorBidi"/>
          <w:b/>
          <w:szCs w:val="24"/>
          <w:lang w:eastAsia="en-US"/>
        </w:rPr>
      </w:pPr>
      <w:r w:rsidRPr="00800A2E">
        <w:rPr>
          <w:rFonts w:eastAsiaTheme="minorHAnsi" w:cstheme="minorBidi"/>
          <w:b/>
          <w:szCs w:val="24"/>
          <w:lang w:eastAsia="en-US"/>
        </w:rPr>
        <w:t>Sa Majesté la Reine</w:t>
      </w:r>
    </w:p>
    <w:p w:rsidR="00D93202" w:rsidRPr="00800A2E" w:rsidRDefault="00D93202" w:rsidP="00D93202">
      <w:pPr>
        <w:jc w:val="center"/>
        <w:rPr>
          <w:rFonts w:eastAsiaTheme="minorHAnsi" w:cstheme="minorBidi"/>
          <w:szCs w:val="24"/>
          <w:lang w:eastAsia="en-US"/>
        </w:rPr>
      </w:pPr>
      <w:r w:rsidRPr="00800A2E">
        <w:rPr>
          <w:rFonts w:eastAsiaTheme="minorHAnsi" w:cstheme="minorBidi"/>
          <w:szCs w:val="24"/>
          <w:lang w:eastAsia="en-US"/>
        </w:rPr>
        <w:t>Intimée</w:t>
      </w:r>
    </w:p>
    <w:p w:rsidR="00D93202" w:rsidRPr="00800A2E" w:rsidRDefault="00D93202" w:rsidP="00D93202">
      <w:pPr>
        <w:rPr>
          <w:rFonts w:eastAsiaTheme="minorHAnsi" w:cstheme="minorBidi"/>
          <w:szCs w:val="24"/>
          <w:lang w:eastAsia="en-US"/>
        </w:rPr>
      </w:pPr>
    </w:p>
    <w:p w:rsidR="00D93202" w:rsidRPr="00800A2E" w:rsidRDefault="00D93202" w:rsidP="00D93202">
      <w:pPr>
        <w:rPr>
          <w:rFonts w:eastAsiaTheme="minorHAnsi" w:cstheme="minorBidi"/>
          <w:szCs w:val="24"/>
          <w:lang w:eastAsia="en-US"/>
        </w:rPr>
      </w:pPr>
    </w:p>
    <w:p w:rsidR="00D93202" w:rsidRPr="00800A2E" w:rsidRDefault="00D93202" w:rsidP="00D93202">
      <w:pPr>
        <w:jc w:val="center"/>
        <w:rPr>
          <w:rFonts w:eastAsiaTheme="minorHAnsi" w:cstheme="minorBidi"/>
          <w:b/>
          <w:smallCaps/>
          <w:szCs w:val="24"/>
          <w:lang w:eastAsia="en-US"/>
        </w:rPr>
      </w:pPr>
      <w:r w:rsidRPr="00800A2E">
        <w:rPr>
          <w:rFonts w:eastAsiaTheme="minorHAnsi" w:cstheme="minorBidi"/>
          <w:b/>
          <w:smallCaps/>
          <w:szCs w:val="24"/>
          <w:lang w:eastAsia="en-US"/>
        </w:rPr>
        <w:t>Traduction française officielle</w:t>
      </w:r>
    </w:p>
    <w:p w:rsidR="00D93202" w:rsidRPr="00800A2E" w:rsidRDefault="00D93202" w:rsidP="00D93202">
      <w:pPr>
        <w:rPr>
          <w:rFonts w:eastAsiaTheme="minorHAnsi" w:cstheme="minorBidi"/>
          <w:szCs w:val="24"/>
          <w:lang w:eastAsia="en-US"/>
        </w:rPr>
      </w:pPr>
    </w:p>
    <w:p w:rsidR="00D93202" w:rsidRPr="00800A2E" w:rsidRDefault="00D93202" w:rsidP="00D93202">
      <w:pPr>
        <w:rPr>
          <w:rFonts w:eastAsiaTheme="minorHAnsi" w:cstheme="minorBidi"/>
          <w:szCs w:val="24"/>
          <w:lang w:eastAsia="en-US"/>
        </w:rPr>
      </w:pPr>
      <w:r w:rsidRPr="00800A2E">
        <w:rPr>
          <w:rFonts w:eastAsiaTheme="minorHAnsi" w:cstheme="minorBidi"/>
          <w:b/>
          <w:smallCaps/>
          <w:szCs w:val="24"/>
          <w:lang w:eastAsia="en-US"/>
        </w:rPr>
        <w:t>Coram :</w:t>
      </w:r>
      <w:r w:rsidRPr="00800A2E">
        <w:rPr>
          <w:rFonts w:eastAsiaTheme="minorHAnsi" w:cstheme="minorBidi"/>
          <w:szCs w:val="24"/>
          <w:lang w:eastAsia="en-US"/>
        </w:rPr>
        <w:t xml:space="preserve"> La juge en chef </w:t>
      </w:r>
      <w:proofErr w:type="spellStart"/>
      <w:r w:rsidRPr="00800A2E">
        <w:rPr>
          <w:rFonts w:eastAsiaTheme="minorHAnsi" w:cstheme="minorBidi"/>
          <w:szCs w:val="24"/>
          <w:lang w:eastAsia="en-US"/>
        </w:rPr>
        <w:t>McLachlin</w:t>
      </w:r>
      <w:proofErr w:type="spellEnd"/>
      <w:r w:rsidRPr="00800A2E">
        <w:rPr>
          <w:rFonts w:eastAsiaTheme="minorHAnsi" w:cstheme="minorBidi"/>
          <w:szCs w:val="24"/>
          <w:lang w:eastAsia="en-US"/>
        </w:rPr>
        <w:t xml:space="preserve"> et les juges </w:t>
      </w:r>
      <w:proofErr w:type="spellStart"/>
      <w:r w:rsidRPr="00800A2E">
        <w:rPr>
          <w:rFonts w:eastAsiaTheme="minorHAnsi" w:cstheme="minorBidi"/>
          <w:szCs w:val="24"/>
          <w:lang w:eastAsia="en-US"/>
        </w:rPr>
        <w:t>LeBel</w:t>
      </w:r>
      <w:proofErr w:type="spellEnd"/>
      <w:r w:rsidRPr="00800A2E">
        <w:rPr>
          <w:rFonts w:eastAsiaTheme="minorHAnsi" w:cstheme="minorBidi"/>
          <w:szCs w:val="24"/>
          <w:lang w:eastAsia="en-US"/>
        </w:rPr>
        <w:t xml:space="preserve">, Deschamps, Fish, Abella, </w:t>
      </w:r>
      <w:proofErr w:type="spellStart"/>
      <w:r w:rsidRPr="00800A2E">
        <w:rPr>
          <w:rFonts w:eastAsiaTheme="minorHAnsi" w:cstheme="minorBidi"/>
          <w:szCs w:val="24"/>
          <w:lang w:eastAsia="en-US"/>
        </w:rPr>
        <w:t>Rothstein</w:t>
      </w:r>
      <w:proofErr w:type="spellEnd"/>
      <w:r w:rsidRPr="00800A2E">
        <w:rPr>
          <w:rFonts w:eastAsiaTheme="minorHAnsi" w:cstheme="minorBidi"/>
          <w:szCs w:val="24"/>
          <w:lang w:eastAsia="en-US"/>
        </w:rPr>
        <w:t xml:space="preserve">, Cromwell, </w:t>
      </w:r>
      <w:proofErr w:type="spellStart"/>
      <w:r w:rsidRPr="00800A2E">
        <w:rPr>
          <w:rFonts w:eastAsiaTheme="minorHAnsi" w:cstheme="minorBidi"/>
          <w:szCs w:val="24"/>
          <w:lang w:eastAsia="en-US"/>
        </w:rPr>
        <w:t>Moldaver</w:t>
      </w:r>
      <w:proofErr w:type="spellEnd"/>
      <w:r w:rsidRPr="00800A2E">
        <w:rPr>
          <w:rFonts w:eastAsiaTheme="minorHAnsi" w:cstheme="minorBidi"/>
          <w:szCs w:val="24"/>
          <w:lang w:eastAsia="en-US"/>
        </w:rPr>
        <w:t xml:space="preserve"> et </w:t>
      </w:r>
      <w:proofErr w:type="spellStart"/>
      <w:r w:rsidRPr="00800A2E">
        <w:rPr>
          <w:rFonts w:eastAsiaTheme="minorHAnsi" w:cstheme="minorBidi"/>
          <w:szCs w:val="24"/>
          <w:lang w:eastAsia="en-US"/>
        </w:rPr>
        <w:t>Karakatsanis</w:t>
      </w:r>
      <w:proofErr w:type="spellEnd"/>
    </w:p>
    <w:p w:rsidR="00D93202" w:rsidRPr="00800A2E" w:rsidRDefault="00D93202" w:rsidP="00D93202">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93202" w:rsidRPr="00800A2E" w:rsidTr="00D01C12">
        <w:trPr>
          <w:cantSplit/>
        </w:trPr>
        <w:tc>
          <w:tcPr>
            <w:tcW w:w="3618" w:type="dxa"/>
          </w:tcPr>
          <w:p w:rsidR="00D93202" w:rsidRPr="00800A2E" w:rsidRDefault="00D93202" w:rsidP="00D01C12">
            <w:pPr>
              <w:rPr>
                <w:b/>
                <w:smallCaps/>
              </w:rPr>
            </w:pPr>
            <w:r w:rsidRPr="00800A2E">
              <w:rPr>
                <w:b/>
                <w:smallCaps/>
              </w:rPr>
              <w:t>Motifs de jugement :</w:t>
            </w:r>
          </w:p>
          <w:p w:rsidR="00D93202" w:rsidRPr="00800A2E" w:rsidRDefault="00D93202" w:rsidP="00D01C12">
            <w:r w:rsidRPr="00800A2E">
              <w:t>(par. 1 à 16)</w:t>
            </w:r>
          </w:p>
          <w:p w:rsidR="00D93202" w:rsidRPr="00800A2E" w:rsidRDefault="00D93202" w:rsidP="00D01C12"/>
          <w:p w:rsidR="00D93202" w:rsidRPr="00800A2E" w:rsidRDefault="00D93202" w:rsidP="00D01C12"/>
          <w:p w:rsidR="00D93202" w:rsidRPr="00800A2E" w:rsidRDefault="00D93202" w:rsidP="00D01C12">
            <w:pPr>
              <w:rPr>
                <w:b/>
                <w:smallCaps/>
              </w:rPr>
            </w:pPr>
            <w:r w:rsidRPr="00800A2E">
              <w:rPr>
                <w:b/>
                <w:smallCaps/>
              </w:rPr>
              <w:t>Motifs dissidents :</w:t>
            </w:r>
          </w:p>
          <w:p w:rsidR="00D93202" w:rsidRPr="00800A2E" w:rsidRDefault="00D93202" w:rsidP="00D01C12">
            <w:r w:rsidRPr="00800A2E">
              <w:t>(par. 17 à 39)</w:t>
            </w:r>
          </w:p>
        </w:tc>
        <w:tc>
          <w:tcPr>
            <w:tcW w:w="5958" w:type="dxa"/>
          </w:tcPr>
          <w:p w:rsidR="00D93202" w:rsidRPr="00800A2E" w:rsidRDefault="00D93202" w:rsidP="00D01C12">
            <w:r w:rsidRPr="00800A2E">
              <w:t xml:space="preserve">La juge Deschamps (avec l’accord de la juge en chef </w:t>
            </w:r>
            <w:proofErr w:type="spellStart"/>
            <w:r w:rsidRPr="00800A2E">
              <w:t>McLachlin</w:t>
            </w:r>
            <w:proofErr w:type="spellEnd"/>
            <w:r w:rsidRPr="00800A2E">
              <w:t xml:space="preserve"> et des juges </w:t>
            </w:r>
            <w:proofErr w:type="spellStart"/>
            <w:r w:rsidRPr="00800A2E">
              <w:t>LeBel</w:t>
            </w:r>
            <w:proofErr w:type="spellEnd"/>
            <w:r w:rsidRPr="00800A2E">
              <w:t xml:space="preserve">, Abella, </w:t>
            </w:r>
            <w:proofErr w:type="spellStart"/>
            <w:r w:rsidRPr="00800A2E">
              <w:t>Rothstein</w:t>
            </w:r>
            <w:proofErr w:type="spellEnd"/>
            <w:r w:rsidRPr="00800A2E">
              <w:t xml:space="preserve">, Cromwell, </w:t>
            </w:r>
            <w:proofErr w:type="spellStart"/>
            <w:r w:rsidRPr="00800A2E">
              <w:t>Moldaver</w:t>
            </w:r>
            <w:proofErr w:type="spellEnd"/>
            <w:r w:rsidRPr="00800A2E">
              <w:t xml:space="preserve"> et </w:t>
            </w:r>
            <w:proofErr w:type="spellStart"/>
            <w:r w:rsidRPr="00800A2E">
              <w:t>Karakatsanis</w:t>
            </w:r>
            <w:proofErr w:type="spellEnd"/>
            <w:r w:rsidRPr="00800A2E">
              <w:t>)</w:t>
            </w:r>
          </w:p>
          <w:p w:rsidR="00D93202" w:rsidRPr="00800A2E" w:rsidRDefault="00D93202" w:rsidP="00D01C12"/>
          <w:p w:rsidR="00D93202" w:rsidRPr="00800A2E" w:rsidRDefault="00D93202" w:rsidP="00D01C12">
            <w:r w:rsidRPr="00800A2E">
              <w:t>Le juge Fish</w:t>
            </w:r>
          </w:p>
        </w:tc>
      </w:tr>
    </w:tbl>
    <w:p w:rsidR="00D93202" w:rsidRPr="00800A2E" w:rsidRDefault="00D93202" w:rsidP="00D93202">
      <w:pPr>
        <w:rPr>
          <w:rFonts w:eastAsiaTheme="minorHAnsi" w:cstheme="minorBidi"/>
          <w:szCs w:val="24"/>
          <w:lang w:eastAsia="en-US"/>
        </w:rPr>
      </w:pPr>
    </w:p>
    <w:p w:rsidR="00D93202" w:rsidRPr="00800A2E" w:rsidRDefault="00D93202" w:rsidP="00D93202">
      <w:pPr>
        <w:rPr>
          <w:rFonts w:eastAsiaTheme="minorHAnsi" w:cstheme="minorBidi"/>
          <w:szCs w:val="24"/>
          <w:lang w:eastAsia="en-US"/>
        </w:rPr>
      </w:pPr>
    </w:p>
    <w:p w:rsidR="00D93202" w:rsidRPr="00800A2E" w:rsidRDefault="00D93202" w:rsidP="00D93202">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D93202" w:rsidRDefault="00D93202" w:rsidP="00D93202">
      <w:pPr>
        <w:rPr>
          <w:smallCaps/>
          <w:szCs w:val="24"/>
        </w:rPr>
      </w:pPr>
      <w:r>
        <w:rPr>
          <w:smallCaps/>
          <w:szCs w:val="24"/>
        </w:rPr>
        <w:br w:type="page"/>
      </w:r>
    </w:p>
    <w:p w:rsidR="008322BD" w:rsidRPr="00995352" w:rsidRDefault="00995352" w:rsidP="00AF2F5B">
      <w:pPr>
        <w:spacing w:after="720"/>
        <w:jc w:val="both"/>
        <w:rPr>
          <w:szCs w:val="24"/>
        </w:rPr>
      </w:pPr>
      <w:r w:rsidRPr="00995352">
        <w:rPr>
          <w:szCs w:val="24"/>
        </w:rPr>
        <w:lastRenderedPageBreak/>
        <w:t xml:space="preserve">R. </w:t>
      </w:r>
      <w:r w:rsidRPr="00995352">
        <w:rPr>
          <w:i/>
          <w:szCs w:val="24"/>
        </w:rPr>
        <w:t>c.</w:t>
      </w:r>
      <w:r w:rsidRPr="00995352">
        <w:rPr>
          <w:szCs w:val="24"/>
        </w:rPr>
        <w:t xml:space="preserve"> Gibbons</w:t>
      </w:r>
      <w:r>
        <w:rPr>
          <w:szCs w:val="24"/>
        </w:rPr>
        <w:t>, 2012 CSC 28, [2012] 2 R.C.S. 92</w:t>
      </w:r>
    </w:p>
    <w:p w:rsidR="00AF2F5B" w:rsidRPr="000459A8" w:rsidRDefault="00A72AD0" w:rsidP="00AF2F5B">
      <w:pPr>
        <w:pStyle w:val="SCCLsocParty"/>
        <w:tabs>
          <w:tab w:val="right" w:pos="8280"/>
        </w:tabs>
        <w:spacing w:after="720"/>
        <w:rPr>
          <w:b w:val="0"/>
          <w:i/>
          <w:szCs w:val="24"/>
        </w:rPr>
      </w:pPr>
      <w:r w:rsidRPr="000459A8">
        <w:rPr>
          <w:szCs w:val="24"/>
        </w:rPr>
        <w:t>Linda Dale Gibbons</w:t>
      </w:r>
      <w:r w:rsidR="00B24023" w:rsidRPr="000459A8">
        <w:rPr>
          <w:szCs w:val="24"/>
        </w:rPr>
        <w:tab/>
      </w:r>
      <w:r w:rsidRPr="000459A8">
        <w:rPr>
          <w:b w:val="0"/>
          <w:i/>
          <w:szCs w:val="24"/>
        </w:rPr>
        <w:t>Appelant</w:t>
      </w:r>
      <w:r w:rsidR="00B24023" w:rsidRPr="000459A8">
        <w:rPr>
          <w:b w:val="0"/>
          <w:i/>
          <w:szCs w:val="24"/>
        </w:rPr>
        <w:t>e</w:t>
      </w:r>
    </w:p>
    <w:p w:rsidR="00AF2F5B" w:rsidRPr="000459A8" w:rsidRDefault="00A72AD0" w:rsidP="00AF2F5B">
      <w:pPr>
        <w:pStyle w:val="SCCLsocVersus"/>
        <w:spacing w:after="720"/>
        <w:rPr>
          <w:szCs w:val="24"/>
        </w:rPr>
      </w:pPr>
      <w:proofErr w:type="gramStart"/>
      <w:r w:rsidRPr="000459A8">
        <w:rPr>
          <w:szCs w:val="24"/>
        </w:rPr>
        <w:t>c</w:t>
      </w:r>
      <w:proofErr w:type="gramEnd"/>
      <w:r w:rsidRPr="000459A8">
        <w:rPr>
          <w:szCs w:val="24"/>
        </w:rPr>
        <w:t>.</w:t>
      </w:r>
    </w:p>
    <w:p w:rsidR="00904B52" w:rsidRPr="000459A8" w:rsidRDefault="00A72AD0" w:rsidP="00AF2F5B">
      <w:pPr>
        <w:pStyle w:val="SCCLsocParty"/>
        <w:tabs>
          <w:tab w:val="right" w:pos="8280"/>
        </w:tabs>
        <w:spacing w:after="720"/>
        <w:rPr>
          <w:szCs w:val="24"/>
        </w:rPr>
      </w:pPr>
      <w:r w:rsidRPr="000459A8">
        <w:rPr>
          <w:szCs w:val="24"/>
        </w:rPr>
        <w:t>Sa Majesté la Reine</w:t>
      </w:r>
      <w:r w:rsidR="00B24023" w:rsidRPr="000459A8">
        <w:rPr>
          <w:szCs w:val="24"/>
        </w:rPr>
        <w:tab/>
      </w:r>
      <w:r w:rsidRPr="000459A8">
        <w:rPr>
          <w:b w:val="0"/>
          <w:i/>
          <w:szCs w:val="24"/>
        </w:rPr>
        <w:t>Intimé</w:t>
      </w:r>
      <w:r w:rsidR="00B24023" w:rsidRPr="000459A8">
        <w:rPr>
          <w:b w:val="0"/>
          <w:i/>
          <w:szCs w:val="24"/>
        </w:rPr>
        <w:t>e</w:t>
      </w:r>
    </w:p>
    <w:p w:rsidR="00426659" w:rsidRPr="000459A8" w:rsidRDefault="0043088E" w:rsidP="00AF2F5B">
      <w:pPr>
        <w:spacing w:after="720"/>
        <w:jc w:val="both"/>
        <w:rPr>
          <w:b/>
          <w:szCs w:val="24"/>
        </w:rPr>
      </w:pPr>
      <w:r w:rsidRPr="000459A8">
        <w:rPr>
          <w:b/>
          <w:szCs w:val="24"/>
        </w:rPr>
        <w:t>Répertorié</w:t>
      </w:r>
      <w:r w:rsidR="00DE579A" w:rsidRPr="000459A8">
        <w:rPr>
          <w:b/>
          <w:szCs w:val="24"/>
        </w:rPr>
        <w:t> :</w:t>
      </w:r>
      <w:r w:rsidR="00C67CA5" w:rsidRPr="000459A8">
        <w:rPr>
          <w:b/>
          <w:szCs w:val="24"/>
        </w:rPr>
        <w:t> </w:t>
      </w:r>
      <w:r w:rsidR="00B24023" w:rsidRPr="000459A8">
        <w:rPr>
          <w:b/>
          <w:szCs w:val="24"/>
        </w:rPr>
        <w:t>R.</w:t>
      </w:r>
      <w:r w:rsidR="00426659" w:rsidRPr="000459A8">
        <w:rPr>
          <w:b/>
          <w:szCs w:val="24"/>
        </w:rPr>
        <w:t xml:space="preserve"> </w:t>
      </w:r>
      <w:r w:rsidR="00645057" w:rsidRPr="000459A8">
        <w:rPr>
          <w:b/>
          <w:i/>
          <w:szCs w:val="24"/>
        </w:rPr>
        <w:t>c</w:t>
      </w:r>
      <w:r w:rsidR="00426659" w:rsidRPr="000459A8">
        <w:rPr>
          <w:b/>
          <w:i/>
          <w:szCs w:val="24"/>
        </w:rPr>
        <w:t>.</w:t>
      </w:r>
      <w:r w:rsidR="00426659" w:rsidRPr="000459A8">
        <w:rPr>
          <w:b/>
          <w:szCs w:val="24"/>
        </w:rPr>
        <w:t xml:space="preserve"> </w:t>
      </w:r>
      <w:r w:rsidR="00B24023" w:rsidRPr="000459A8">
        <w:rPr>
          <w:b/>
          <w:szCs w:val="24"/>
        </w:rPr>
        <w:t>Gibbons</w:t>
      </w:r>
    </w:p>
    <w:p w:rsidR="00426659" w:rsidRPr="000459A8" w:rsidRDefault="00C0663B" w:rsidP="00AF2F5B">
      <w:pPr>
        <w:pStyle w:val="SCCSystemYear"/>
        <w:spacing w:after="720"/>
        <w:jc w:val="both"/>
        <w:rPr>
          <w:szCs w:val="24"/>
        </w:rPr>
      </w:pPr>
      <w:r w:rsidRPr="000459A8">
        <w:rPr>
          <w:szCs w:val="24"/>
        </w:rPr>
        <w:t>2012</w:t>
      </w:r>
      <w:r w:rsidR="00EE0FAF" w:rsidRPr="000459A8">
        <w:rPr>
          <w:szCs w:val="24"/>
        </w:rPr>
        <w:t xml:space="preserve"> </w:t>
      </w:r>
      <w:r w:rsidR="00C71F58" w:rsidRPr="000459A8">
        <w:rPr>
          <w:szCs w:val="24"/>
        </w:rPr>
        <w:t>C</w:t>
      </w:r>
      <w:r w:rsidR="00426659" w:rsidRPr="000459A8">
        <w:rPr>
          <w:szCs w:val="24"/>
        </w:rPr>
        <w:t>SC </w:t>
      </w:r>
      <w:r w:rsidR="0071619C" w:rsidRPr="000459A8">
        <w:rPr>
          <w:szCs w:val="24"/>
        </w:rPr>
        <w:t>28</w:t>
      </w:r>
    </w:p>
    <w:p w:rsidR="008322BD" w:rsidRPr="000459A8" w:rsidRDefault="009B57B3" w:rsidP="00AF2F5B">
      <w:pPr>
        <w:spacing w:after="720"/>
        <w:jc w:val="both"/>
        <w:rPr>
          <w:szCs w:val="24"/>
        </w:rPr>
      </w:pPr>
      <w:r w:rsidRPr="000459A8">
        <w:rPr>
          <w:szCs w:val="24"/>
        </w:rPr>
        <w:t>N</w:t>
      </w:r>
      <w:r w:rsidRPr="000459A8">
        <w:rPr>
          <w:szCs w:val="24"/>
          <w:vertAlign w:val="superscript"/>
        </w:rPr>
        <w:t>o</w:t>
      </w:r>
      <w:r w:rsidR="0043088E" w:rsidRPr="000459A8">
        <w:rPr>
          <w:szCs w:val="24"/>
        </w:rPr>
        <w:t xml:space="preserve"> du greffe</w:t>
      </w:r>
      <w:r w:rsidR="00DE579A" w:rsidRPr="000459A8">
        <w:rPr>
          <w:szCs w:val="24"/>
        </w:rPr>
        <w:t> :</w:t>
      </w:r>
      <w:r w:rsidR="00C67CA5" w:rsidRPr="000459A8">
        <w:rPr>
          <w:szCs w:val="24"/>
        </w:rPr>
        <w:t> </w:t>
      </w:r>
      <w:r w:rsidRPr="000459A8">
        <w:rPr>
          <w:szCs w:val="24"/>
        </w:rPr>
        <w:t>33813.</w:t>
      </w:r>
    </w:p>
    <w:p w:rsidR="008322BD" w:rsidRPr="000459A8" w:rsidRDefault="00C0663B" w:rsidP="00AF2F5B">
      <w:pPr>
        <w:spacing w:after="720"/>
        <w:jc w:val="both"/>
        <w:rPr>
          <w:szCs w:val="24"/>
        </w:rPr>
      </w:pPr>
      <w:r w:rsidRPr="000459A8">
        <w:rPr>
          <w:szCs w:val="24"/>
        </w:rPr>
        <w:t>2011</w:t>
      </w:r>
      <w:r w:rsidR="00DE579A" w:rsidRPr="000459A8">
        <w:rPr>
          <w:szCs w:val="24"/>
        </w:rPr>
        <w:t> :</w:t>
      </w:r>
      <w:r w:rsidR="00AB3654" w:rsidRPr="000459A8">
        <w:rPr>
          <w:szCs w:val="24"/>
        </w:rPr>
        <w:t> 14 </w:t>
      </w:r>
      <w:r w:rsidRPr="000459A8">
        <w:rPr>
          <w:szCs w:val="24"/>
        </w:rPr>
        <w:t>décembre</w:t>
      </w:r>
      <w:r w:rsidR="009B57B3" w:rsidRPr="000459A8">
        <w:rPr>
          <w:szCs w:val="24"/>
        </w:rPr>
        <w:t xml:space="preserve">; </w:t>
      </w:r>
      <w:r w:rsidR="00937DE8" w:rsidRPr="000459A8">
        <w:rPr>
          <w:szCs w:val="24"/>
        </w:rPr>
        <w:t>2012</w:t>
      </w:r>
      <w:r w:rsidR="00DE579A" w:rsidRPr="000459A8">
        <w:rPr>
          <w:szCs w:val="24"/>
        </w:rPr>
        <w:t> :</w:t>
      </w:r>
      <w:r w:rsidR="008112A8" w:rsidRPr="000459A8">
        <w:rPr>
          <w:szCs w:val="24"/>
        </w:rPr>
        <w:t> </w:t>
      </w:r>
      <w:r w:rsidR="00DE579A" w:rsidRPr="000459A8">
        <w:rPr>
          <w:szCs w:val="24"/>
        </w:rPr>
        <w:t>8 </w:t>
      </w:r>
      <w:r w:rsidR="00E61A41" w:rsidRPr="000459A8">
        <w:rPr>
          <w:szCs w:val="24"/>
        </w:rPr>
        <w:t>juin</w:t>
      </w:r>
      <w:r w:rsidR="009B57B3" w:rsidRPr="000459A8">
        <w:rPr>
          <w:szCs w:val="24"/>
        </w:rPr>
        <w:t>.</w:t>
      </w:r>
    </w:p>
    <w:p w:rsidR="008322BD" w:rsidRPr="000459A8" w:rsidRDefault="009B57B3" w:rsidP="00AF2F5B">
      <w:pPr>
        <w:spacing w:after="720"/>
        <w:jc w:val="both"/>
        <w:rPr>
          <w:szCs w:val="24"/>
        </w:rPr>
      </w:pPr>
      <w:r w:rsidRPr="000459A8">
        <w:rPr>
          <w:szCs w:val="24"/>
        </w:rPr>
        <w:t>Pr</w:t>
      </w:r>
      <w:r w:rsidR="0043088E" w:rsidRPr="000459A8">
        <w:rPr>
          <w:szCs w:val="24"/>
        </w:rPr>
        <w:t>é</w:t>
      </w:r>
      <w:r w:rsidRPr="000459A8">
        <w:rPr>
          <w:szCs w:val="24"/>
        </w:rPr>
        <w:t>sent</w:t>
      </w:r>
      <w:r w:rsidR="008A6558" w:rsidRPr="000459A8">
        <w:rPr>
          <w:szCs w:val="24"/>
        </w:rPr>
        <w:t>s</w:t>
      </w:r>
      <w:r w:rsidR="00DE579A" w:rsidRPr="000459A8">
        <w:rPr>
          <w:szCs w:val="24"/>
        </w:rPr>
        <w:t> :</w:t>
      </w:r>
      <w:r w:rsidR="00C67CA5" w:rsidRPr="000459A8">
        <w:rPr>
          <w:szCs w:val="24"/>
        </w:rPr>
        <w:t> </w:t>
      </w:r>
      <w:r w:rsidRPr="000459A8">
        <w:rPr>
          <w:szCs w:val="24"/>
        </w:rPr>
        <w:t>La juge en chef McLachlin et les juges LeBel, Deschamps, Fish, Abella, Rothstein, Cromwell, Moldaver et Karakatsanis.</w:t>
      </w:r>
    </w:p>
    <w:p w:rsidR="008322BD" w:rsidRPr="000459A8" w:rsidRDefault="00AC7437" w:rsidP="00AF2F5B">
      <w:pPr>
        <w:pStyle w:val="SCCLowerCourtNameLowercase"/>
        <w:spacing w:after="720" w:line="240" w:lineRule="auto"/>
        <w:rPr>
          <w:szCs w:val="24"/>
        </w:rPr>
      </w:pPr>
      <w:r w:rsidRPr="000459A8">
        <w:rPr>
          <w:szCs w:val="24"/>
        </w:rPr>
        <w:t>e</w:t>
      </w:r>
      <w:r w:rsidR="00855307" w:rsidRPr="000459A8">
        <w:rPr>
          <w:szCs w:val="24"/>
        </w:rPr>
        <w:t>n</w:t>
      </w:r>
      <w:r w:rsidR="00224FC0" w:rsidRPr="000459A8">
        <w:rPr>
          <w:szCs w:val="24"/>
        </w:rPr>
        <w:t xml:space="preserve"> </w:t>
      </w:r>
      <w:r w:rsidR="00855307" w:rsidRPr="000459A8">
        <w:rPr>
          <w:szCs w:val="24"/>
        </w:rPr>
        <w:t>appel</w:t>
      </w:r>
      <w:r w:rsidR="00224FC0" w:rsidRPr="000459A8">
        <w:rPr>
          <w:szCs w:val="24"/>
        </w:rPr>
        <w:t xml:space="preserve"> </w:t>
      </w:r>
      <w:r w:rsidR="00855307" w:rsidRPr="000459A8">
        <w:rPr>
          <w:szCs w:val="24"/>
        </w:rPr>
        <w:t>de</w:t>
      </w:r>
      <w:r w:rsidR="0043088E" w:rsidRPr="000459A8">
        <w:rPr>
          <w:szCs w:val="24"/>
        </w:rPr>
        <w:t xml:space="preserve"> </w:t>
      </w:r>
      <w:r w:rsidR="00855307" w:rsidRPr="000459A8">
        <w:rPr>
          <w:szCs w:val="24"/>
        </w:rPr>
        <w:t>la</w:t>
      </w:r>
      <w:r w:rsidR="00224FC0" w:rsidRPr="000459A8">
        <w:rPr>
          <w:szCs w:val="24"/>
        </w:rPr>
        <w:t xml:space="preserve"> </w:t>
      </w:r>
      <w:r w:rsidR="009B57B3" w:rsidRPr="000459A8">
        <w:rPr>
          <w:szCs w:val="24"/>
        </w:rPr>
        <w:t>cour d</w:t>
      </w:r>
      <w:r w:rsidR="007518BB" w:rsidRPr="000459A8">
        <w:rPr>
          <w:szCs w:val="24"/>
        </w:rPr>
        <w:t>’</w:t>
      </w:r>
      <w:r w:rsidR="009B57B3" w:rsidRPr="000459A8">
        <w:rPr>
          <w:szCs w:val="24"/>
        </w:rPr>
        <w:t>appel de l</w:t>
      </w:r>
      <w:r w:rsidR="007518BB" w:rsidRPr="000459A8">
        <w:rPr>
          <w:szCs w:val="24"/>
        </w:rPr>
        <w:t>’</w:t>
      </w:r>
      <w:proofErr w:type="spellStart"/>
      <w:r w:rsidR="009B57B3" w:rsidRPr="000459A8">
        <w:rPr>
          <w:szCs w:val="24"/>
        </w:rPr>
        <w:t>ontario</w:t>
      </w:r>
      <w:proofErr w:type="spellEnd"/>
    </w:p>
    <w:p w:rsidR="00160EFC" w:rsidRPr="000459A8" w:rsidRDefault="004E4244" w:rsidP="00DE579A">
      <w:pPr>
        <w:pStyle w:val="SCCNormalDoubleSpacing"/>
        <w:spacing w:after="480"/>
        <w:rPr>
          <w:i/>
          <w:szCs w:val="24"/>
        </w:rPr>
      </w:pPr>
      <w:r w:rsidRPr="000459A8">
        <w:rPr>
          <w:i/>
          <w:szCs w:val="24"/>
        </w:rPr>
        <w:tab/>
      </w:r>
      <w:r w:rsidR="005A4BFF" w:rsidRPr="000459A8">
        <w:rPr>
          <w:i/>
          <w:szCs w:val="24"/>
        </w:rPr>
        <w:t>Droit c</w:t>
      </w:r>
      <w:r w:rsidR="00160EFC" w:rsidRPr="000459A8">
        <w:rPr>
          <w:i/>
          <w:szCs w:val="24"/>
        </w:rPr>
        <w:t>rimin</w:t>
      </w:r>
      <w:r w:rsidR="005A4BFF" w:rsidRPr="000459A8">
        <w:rPr>
          <w:i/>
          <w:szCs w:val="24"/>
        </w:rPr>
        <w:t>e</w:t>
      </w:r>
      <w:r w:rsidR="00160EFC" w:rsidRPr="000459A8">
        <w:rPr>
          <w:i/>
          <w:szCs w:val="24"/>
        </w:rPr>
        <w:t xml:space="preserve">l — </w:t>
      </w:r>
      <w:r w:rsidR="00754B79" w:rsidRPr="000459A8">
        <w:rPr>
          <w:i/>
          <w:szCs w:val="24"/>
        </w:rPr>
        <w:t>Infractions — Désobéissance à une ordonnance du tribunal</w:t>
      </w:r>
      <w:r w:rsidR="005A4BFF" w:rsidRPr="000459A8">
        <w:rPr>
          <w:i/>
          <w:szCs w:val="24"/>
        </w:rPr>
        <w:t xml:space="preserve"> — Dépôt d</w:t>
      </w:r>
      <w:r w:rsidR="007518BB" w:rsidRPr="000459A8">
        <w:rPr>
          <w:i/>
          <w:szCs w:val="24"/>
        </w:rPr>
        <w:t>’</w:t>
      </w:r>
      <w:r w:rsidR="005A4BFF" w:rsidRPr="000459A8">
        <w:rPr>
          <w:i/>
          <w:szCs w:val="24"/>
        </w:rPr>
        <w:t>une accusation criminelle pour désobéissance à une ordonnance d</w:t>
      </w:r>
      <w:r w:rsidR="007518BB" w:rsidRPr="000459A8">
        <w:rPr>
          <w:i/>
          <w:szCs w:val="24"/>
        </w:rPr>
        <w:t>’</w:t>
      </w:r>
      <w:r w:rsidR="005A4BFF" w:rsidRPr="000459A8">
        <w:rPr>
          <w:i/>
          <w:szCs w:val="24"/>
        </w:rPr>
        <w:t>une cour supérieure en matière civile</w:t>
      </w:r>
      <w:r w:rsidR="00160EFC" w:rsidRPr="000459A8">
        <w:rPr>
          <w:i/>
          <w:szCs w:val="24"/>
        </w:rPr>
        <w:t xml:space="preserve"> — </w:t>
      </w:r>
      <w:r w:rsidR="000C1878" w:rsidRPr="000459A8">
        <w:rPr>
          <w:i/>
          <w:szCs w:val="24"/>
        </w:rPr>
        <w:t xml:space="preserve">Une </w:t>
      </w:r>
      <w:r w:rsidR="00E328BF" w:rsidRPr="000459A8">
        <w:rPr>
          <w:i/>
          <w:szCs w:val="24"/>
        </w:rPr>
        <w:t>disposition du Code criminel fai</w:t>
      </w:r>
      <w:r w:rsidR="000C1878" w:rsidRPr="000459A8">
        <w:rPr>
          <w:i/>
          <w:szCs w:val="24"/>
        </w:rPr>
        <w:t>t</w:t>
      </w:r>
      <w:r w:rsidR="00E328BF" w:rsidRPr="000459A8">
        <w:rPr>
          <w:i/>
          <w:szCs w:val="24"/>
        </w:rPr>
        <w:t xml:space="preserve"> d</w:t>
      </w:r>
      <w:r w:rsidR="000C1878" w:rsidRPr="000459A8">
        <w:rPr>
          <w:i/>
          <w:szCs w:val="24"/>
        </w:rPr>
        <w:t xml:space="preserve">e la désobéissance à une </w:t>
      </w:r>
      <w:r w:rsidR="00E328BF" w:rsidRPr="000459A8">
        <w:rPr>
          <w:i/>
          <w:szCs w:val="24"/>
        </w:rPr>
        <w:t>ordonnance judiciaire</w:t>
      </w:r>
      <w:r w:rsidR="00483476" w:rsidRPr="000459A8">
        <w:rPr>
          <w:i/>
          <w:szCs w:val="24"/>
        </w:rPr>
        <w:t xml:space="preserve"> une infraction criminelle</w:t>
      </w:r>
      <w:r w:rsidR="00E328BF" w:rsidRPr="000459A8">
        <w:rPr>
          <w:i/>
          <w:szCs w:val="24"/>
        </w:rPr>
        <w:t xml:space="preserve"> </w:t>
      </w:r>
      <w:r w:rsidR="000C1878" w:rsidRPr="000459A8">
        <w:rPr>
          <w:i/>
          <w:szCs w:val="24"/>
        </w:rPr>
        <w:t xml:space="preserve">à moins que </w:t>
      </w:r>
      <w:r w:rsidR="00DE579A" w:rsidRPr="000459A8">
        <w:rPr>
          <w:i/>
          <w:szCs w:val="24"/>
        </w:rPr>
        <w:t>« </w:t>
      </w:r>
      <w:r w:rsidR="00E328BF" w:rsidRPr="000459A8">
        <w:rPr>
          <w:i/>
          <w:szCs w:val="24"/>
        </w:rPr>
        <w:t xml:space="preserve">la </w:t>
      </w:r>
      <w:r w:rsidR="00E328BF" w:rsidRPr="000459A8">
        <w:rPr>
          <w:i/>
          <w:szCs w:val="24"/>
        </w:rPr>
        <w:lastRenderedPageBreak/>
        <w:t xml:space="preserve">loi </w:t>
      </w:r>
      <w:r w:rsidR="000C1878" w:rsidRPr="000459A8">
        <w:rPr>
          <w:i/>
          <w:szCs w:val="24"/>
        </w:rPr>
        <w:t xml:space="preserve">ne </w:t>
      </w:r>
      <w:r w:rsidR="00E328BF" w:rsidRPr="000459A8">
        <w:rPr>
          <w:i/>
          <w:szCs w:val="24"/>
        </w:rPr>
        <w:t>prévoi</w:t>
      </w:r>
      <w:r w:rsidR="000C1878" w:rsidRPr="000459A8">
        <w:rPr>
          <w:i/>
          <w:szCs w:val="24"/>
        </w:rPr>
        <w:t>e</w:t>
      </w:r>
      <w:r w:rsidR="00E328BF" w:rsidRPr="000459A8">
        <w:rPr>
          <w:i/>
          <w:szCs w:val="24"/>
        </w:rPr>
        <w:t xml:space="preserve"> expressément </w:t>
      </w:r>
      <w:r w:rsidR="00D53FA2" w:rsidRPr="000459A8">
        <w:rPr>
          <w:i/>
          <w:szCs w:val="24"/>
        </w:rPr>
        <w:t>une peine ou</w:t>
      </w:r>
      <w:r w:rsidR="000C1878" w:rsidRPr="000459A8">
        <w:rPr>
          <w:i/>
          <w:szCs w:val="24"/>
        </w:rPr>
        <w:t xml:space="preserve"> </w:t>
      </w:r>
      <w:r w:rsidR="00DE579A" w:rsidRPr="000459A8">
        <w:rPr>
          <w:i/>
          <w:szCs w:val="24"/>
        </w:rPr>
        <w:t>un autre mode de procédure </w:t>
      </w:r>
      <w:r w:rsidR="00E328BF" w:rsidRPr="000459A8">
        <w:rPr>
          <w:i/>
          <w:szCs w:val="24"/>
        </w:rPr>
        <w:t>» —</w:t>
      </w:r>
      <w:r w:rsidR="00483476" w:rsidRPr="000459A8">
        <w:rPr>
          <w:i/>
          <w:szCs w:val="24"/>
        </w:rPr>
        <w:t xml:space="preserve"> Procédure pour outrage établie par les Règles de procédure civile — </w:t>
      </w:r>
      <w:proofErr w:type="spellStart"/>
      <w:r w:rsidR="00E328BF" w:rsidRPr="000459A8">
        <w:rPr>
          <w:i/>
          <w:szCs w:val="24"/>
        </w:rPr>
        <w:t>Est</w:t>
      </w:r>
      <w:r w:rsidR="00DE579A" w:rsidRPr="000459A8">
        <w:rPr>
          <w:i/>
          <w:szCs w:val="24"/>
        </w:rPr>
        <w:noBreakHyphen/>
      </w:r>
      <w:r w:rsidR="00E328BF" w:rsidRPr="000459A8">
        <w:rPr>
          <w:i/>
          <w:szCs w:val="24"/>
        </w:rPr>
        <w:t>ce</w:t>
      </w:r>
      <w:proofErr w:type="spellEnd"/>
      <w:r w:rsidR="00E328BF" w:rsidRPr="000459A8">
        <w:rPr>
          <w:i/>
          <w:szCs w:val="24"/>
        </w:rPr>
        <w:t xml:space="preserve"> que l</w:t>
      </w:r>
      <w:r w:rsidR="007518BB" w:rsidRPr="000459A8">
        <w:rPr>
          <w:i/>
          <w:szCs w:val="24"/>
        </w:rPr>
        <w:t>’</w:t>
      </w:r>
      <w:r w:rsidR="00483476" w:rsidRPr="000459A8">
        <w:rPr>
          <w:i/>
          <w:szCs w:val="24"/>
        </w:rPr>
        <w:t xml:space="preserve">exception prévue par </w:t>
      </w:r>
      <w:r w:rsidR="001940E2" w:rsidRPr="000459A8">
        <w:rPr>
          <w:i/>
          <w:szCs w:val="24"/>
        </w:rPr>
        <w:t>l</w:t>
      </w:r>
      <w:r w:rsidR="00E328BF" w:rsidRPr="000459A8">
        <w:rPr>
          <w:i/>
          <w:szCs w:val="24"/>
        </w:rPr>
        <w:t xml:space="preserve">a disposition du Code criminel </w:t>
      </w:r>
      <w:r w:rsidR="001940E2" w:rsidRPr="000459A8">
        <w:rPr>
          <w:i/>
          <w:szCs w:val="24"/>
        </w:rPr>
        <w:t>s</w:t>
      </w:r>
      <w:r w:rsidR="007518BB" w:rsidRPr="000459A8">
        <w:rPr>
          <w:i/>
          <w:szCs w:val="24"/>
        </w:rPr>
        <w:t>’</w:t>
      </w:r>
      <w:r w:rsidR="001940E2" w:rsidRPr="000459A8">
        <w:rPr>
          <w:i/>
          <w:szCs w:val="24"/>
        </w:rPr>
        <w:t xml:space="preserve">applique? </w:t>
      </w:r>
      <w:r w:rsidR="00160EFC" w:rsidRPr="000459A8">
        <w:rPr>
          <w:i/>
          <w:szCs w:val="24"/>
        </w:rPr>
        <w:t>— C</w:t>
      </w:r>
      <w:r w:rsidR="005A4BFF" w:rsidRPr="000459A8">
        <w:rPr>
          <w:i/>
          <w:szCs w:val="24"/>
        </w:rPr>
        <w:t>ode c</w:t>
      </w:r>
      <w:r w:rsidR="00160EFC" w:rsidRPr="000459A8">
        <w:rPr>
          <w:i/>
          <w:szCs w:val="24"/>
        </w:rPr>
        <w:t>rimin</w:t>
      </w:r>
      <w:r w:rsidR="005A4BFF" w:rsidRPr="000459A8">
        <w:rPr>
          <w:i/>
          <w:szCs w:val="24"/>
        </w:rPr>
        <w:t>e</w:t>
      </w:r>
      <w:r w:rsidR="00160EFC" w:rsidRPr="000459A8">
        <w:rPr>
          <w:i/>
          <w:szCs w:val="24"/>
        </w:rPr>
        <w:t xml:space="preserve">l, </w:t>
      </w:r>
      <w:r w:rsidR="00FF53A5" w:rsidRPr="000459A8">
        <w:rPr>
          <w:i/>
          <w:szCs w:val="24"/>
        </w:rPr>
        <w:t>L.</w:t>
      </w:r>
      <w:r w:rsidR="005A4BFF" w:rsidRPr="000459A8">
        <w:rPr>
          <w:i/>
          <w:szCs w:val="24"/>
        </w:rPr>
        <w:t>R</w:t>
      </w:r>
      <w:r w:rsidR="00160EFC" w:rsidRPr="000459A8">
        <w:rPr>
          <w:i/>
          <w:szCs w:val="24"/>
        </w:rPr>
        <w:t xml:space="preserve">.C. 1985, </w:t>
      </w:r>
      <w:r w:rsidR="00DE579A" w:rsidRPr="000459A8">
        <w:rPr>
          <w:i/>
          <w:szCs w:val="24"/>
        </w:rPr>
        <w:t>ch. </w:t>
      </w:r>
      <w:r w:rsidR="00160EFC" w:rsidRPr="000459A8">
        <w:rPr>
          <w:i/>
          <w:szCs w:val="24"/>
        </w:rPr>
        <w:t>C</w:t>
      </w:r>
      <w:r w:rsidR="00DE579A" w:rsidRPr="000459A8">
        <w:rPr>
          <w:i/>
          <w:szCs w:val="24"/>
        </w:rPr>
        <w:noBreakHyphen/>
      </w:r>
      <w:r w:rsidR="00160EFC" w:rsidRPr="000459A8">
        <w:rPr>
          <w:i/>
          <w:szCs w:val="24"/>
        </w:rPr>
        <w:t xml:space="preserve">46, </w:t>
      </w:r>
      <w:r w:rsidR="00DE579A" w:rsidRPr="000459A8">
        <w:rPr>
          <w:i/>
          <w:szCs w:val="24"/>
        </w:rPr>
        <w:t>art. </w:t>
      </w:r>
      <w:r w:rsidR="00160EFC" w:rsidRPr="000459A8">
        <w:rPr>
          <w:i/>
          <w:szCs w:val="24"/>
        </w:rPr>
        <w:t>127</w:t>
      </w:r>
      <w:r w:rsidR="001940E2" w:rsidRPr="000459A8">
        <w:rPr>
          <w:i/>
          <w:szCs w:val="24"/>
        </w:rPr>
        <w:t xml:space="preserve"> —</w:t>
      </w:r>
      <w:r w:rsidR="00DE579A" w:rsidRPr="000459A8">
        <w:rPr>
          <w:i/>
          <w:szCs w:val="24"/>
        </w:rPr>
        <w:t xml:space="preserve"> </w:t>
      </w:r>
      <w:r w:rsidR="001940E2" w:rsidRPr="000459A8">
        <w:rPr>
          <w:i/>
          <w:szCs w:val="24"/>
        </w:rPr>
        <w:t>Règles de procédure civile de l</w:t>
      </w:r>
      <w:r w:rsidR="007518BB" w:rsidRPr="000459A8">
        <w:rPr>
          <w:i/>
          <w:szCs w:val="24"/>
        </w:rPr>
        <w:t>’</w:t>
      </w:r>
      <w:r w:rsidR="001940E2" w:rsidRPr="000459A8">
        <w:rPr>
          <w:i/>
          <w:szCs w:val="24"/>
        </w:rPr>
        <w:t>Ontario,</w:t>
      </w:r>
      <w:r w:rsidR="001940E2" w:rsidRPr="000459A8">
        <w:rPr>
          <w:szCs w:val="24"/>
        </w:rPr>
        <w:t xml:space="preserve"> </w:t>
      </w:r>
      <w:r w:rsidR="001940E2" w:rsidRPr="000459A8">
        <w:rPr>
          <w:i/>
          <w:szCs w:val="24"/>
        </w:rPr>
        <w:t xml:space="preserve">R.R.O. 1990, </w:t>
      </w:r>
      <w:proofErr w:type="spellStart"/>
      <w:r w:rsidR="001940E2" w:rsidRPr="000459A8">
        <w:rPr>
          <w:i/>
          <w:szCs w:val="24"/>
        </w:rPr>
        <w:t>Règl</w:t>
      </w:r>
      <w:proofErr w:type="spellEnd"/>
      <w:r w:rsidR="001940E2" w:rsidRPr="000459A8">
        <w:rPr>
          <w:i/>
          <w:szCs w:val="24"/>
        </w:rPr>
        <w:t>. 194</w:t>
      </w:r>
      <w:r w:rsidR="0076195B" w:rsidRPr="000459A8">
        <w:rPr>
          <w:i/>
          <w:szCs w:val="24"/>
        </w:rPr>
        <w:t xml:space="preserve">, </w:t>
      </w:r>
      <w:r w:rsidR="001940E2" w:rsidRPr="000459A8">
        <w:rPr>
          <w:i/>
          <w:szCs w:val="24"/>
        </w:rPr>
        <w:t>règles 60.11</w:t>
      </w:r>
      <w:r w:rsidR="003E7BCD" w:rsidRPr="000459A8">
        <w:rPr>
          <w:i/>
          <w:szCs w:val="24"/>
        </w:rPr>
        <w:t>,</w:t>
      </w:r>
      <w:r w:rsidR="001940E2" w:rsidRPr="000459A8">
        <w:rPr>
          <w:i/>
          <w:szCs w:val="24"/>
        </w:rPr>
        <w:t xml:space="preserve"> 60.12</w:t>
      </w:r>
      <w:r w:rsidR="00160EFC" w:rsidRPr="000459A8">
        <w:rPr>
          <w:i/>
          <w:szCs w:val="24"/>
        </w:rPr>
        <w:t>.</w:t>
      </w:r>
    </w:p>
    <w:p w:rsidR="00160EFC" w:rsidRPr="000459A8" w:rsidRDefault="00F246ED" w:rsidP="00DE579A">
      <w:pPr>
        <w:pStyle w:val="SCCNormalDoubleSpacing"/>
        <w:spacing w:after="480"/>
        <w:rPr>
          <w:szCs w:val="24"/>
        </w:rPr>
      </w:pPr>
      <w:r w:rsidRPr="000459A8">
        <w:rPr>
          <w:szCs w:val="24"/>
        </w:rPr>
        <w:tab/>
      </w:r>
      <w:r w:rsidR="000F5832" w:rsidRPr="000459A8">
        <w:rPr>
          <w:szCs w:val="24"/>
        </w:rPr>
        <w:t>L</w:t>
      </w:r>
      <w:r w:rsidR="007518BB" w:rsidRPr="000459A8">
        <w:rPr>
          <w:szCs w:val="24"/>
        </w:rPr>
        <w:t>’</w:t>
      </w:r>
      <w:r w:rsidRPr="000459A8">
        <w:rPr>
          <w:szCs w:val="24"/>
        </w:rPr>
        <w:t xml:space="preserve">appelante a été accusée en vertu du </w:t>
      </w:r>
      <w:r w:rsidR="00DE579A" w:rsidRPr="000459A8">
        <w:rPr>
          <w:szCs w:val="24"/>
        </w:rPr>
        <w:t>par. </w:t>
      </w:r>
      <w:r w:rsidRPr="000459A8">
        <w:rPr>
          <w:szCs w:val="24"/>
        </w:rPr>
        <w:t xml:space="preserve">127(1) </w:t>
      </w:r>
      <w:r w:rsidR="00166D89" w:rsidRPr="000459A8">
        <w:rPr>
          <w:szCs w:val="24"/>
        </w:rPr>
        <w:t xml:space="preserve">du </w:t>
      </w:r>
      <w:r w:rsidR="00166D89" w:rsidRPr="000459A8">
        <w:rPr>
          <w:i/>
          <w:szCs w:val="24"/>
        </w:rPr>
        <w:t>Code criminel</w:t>
      </w:r>
      <w:r w:rsidR="00166D89" w:rsidRPr="000459A8">
        <w:rPr>
          <w:szCs w:val="24"/>
        </w:rPr>
        <w:t xml:space="preserve"> </w:t>
      </w:r>
      <w:r w:rsidRPr="000459A8">
        <w:rPr>
          <w:szCs w:val="24"/>
        </w:rPr>
        <w:t>d</w:t>
      </w:r>
      <w:r w:rsidR="007518BB" w:rsidRPr="000459A8">
        <w:rPr>
          <w:szCs w:val="24"/>
        </w:rPr>
        <w:t>’</w:t>
      </w:r>
      <w:r w:rsidRPr="000459A8">
        <w:rPr>
          <w:szCs w:val="24"/>
        </w:rPr>
        <w:t>avoir désobéi à une ordonnance judiciaire, laquelle avait été accordée en 1994 et interdisait à l</w:t>
      </w:r>
      <w:r w:rsidR="007518BB" w:rsidRPr="000459A8">
        <w:rPr>
          <w:szCs w:val="24"/>
        </w:rPr>
        <w:t>’</w:t>
      </w:r>
      <w:r w:rsidRPr="000459A8">
        <w:rPr>
          <w:szCs w:val="24"/>
        </w:rPr>
        <w:t>appelante et à d</w:t>
      </w:r>
      <w:r w:rsidR="007518BB" w:rsidRPr="000459A8">
        <w:rPr>
          <w:szCs w:val="24"/>
        </w:rPr>
        <w:t>’</w:t>
      </w:r>
      <w:r w:rsidRPr="000459A8">
        <w:rPr>
          <w:szCs w:val="24"/>
        </w:rPr>
        <w:t>autres personnes d</w:t>
      </w:r>
      <w:r w:rsidR="007518BB" w:rsidRPr="000459A8">
        <w:rPr>
          <w:szCs w:val="24"/>
        </w:rPr>
        <w:t>’</w:t>
      </w:r>
      <w:r w:rsidRPr="000459A8">
        <w:rPr>
          <w:szCs w:val="24"/>
        </w:rPr>
        <w:t>exhiber des pancartes de protestation à proximité de certaines cliniques d</w:t>
      </w:r>
      <w:r w:rsidR="007518BB" w:rsidRPr="000459A8">
        <w:rPr>
          <w:szCs w:val="24"/>
        </w:rPr>
        <w:t>’</w:t>
      </w:r>
      <w:r w:rsidRPr="000459A8">
        <w:rPr>
          <w:szCs w:val="24"/>
        </w:rPr>
        <w:t>avortement.</w:t>
      </w:r>
      <w:r w:rsidR="000F5832" w:rsidRPr="000459A8">
        <w:rPr>
          <w:szCs w:val="24"/>
        </w:rPr>
        <w:t xml:space="preserve">  </w:t>
      </w:r>
      <w:r w:rsidRPr="000459A8">
        <w:rPr>
          <w:szCs w:val="24"/>
        </w:rPr>
        <w:t>L</w:t>
      </w:r>
      <w:r w:rsidR="007518BB" w:rsidRPr="000459A8">
        <w:rPr>
          <w:szCs w:val="24"/>
        </w:rPr>
        <w:t>’</w:t>
      </w:r>
      <w:r w:rsidRPr="000459A8">
        <w:rPr>
          <w:szCs w:val="24"/>
        </w:rPr>
        <w:t>appelante a présent</w:t>
      </w:r>
      <w:r w:rsidR="00544B82" w:rsidRPr="000459A8">
        <w:rPr>
          <w:szCs w:val="24"/>
        </w:rPr>
        <w:t>é</w:t>
      </w:r>
      <w:r w:rsidRPr="000459A8">
        <w:rPr>
          <w:szCs w:val="24"/>
        </w:rPr>
        <w:t xml:space="preserve"> une motion préliminaire </w:t>
      </w:r>
      <w:r w:rsidR="000F5832" w:rsidRPr="000459A8">
        <w:rPr>
          <w:szCs w:val="24"/>
        </w:rPr>
        <w:t xml:space="preserve">sollicitant </w:t>
      </w:r>
      <w:r w:rsidR="00544B82" w:rsidRPr="000459A8">
        <w:rPr>
          <w:szCs w:val="24"/>
        </w:rPr>
        <w:t>l</w:t>
      </w:r>
      <w:r w:rsidR="007518BB" w:rsidRPr="000459A8">
        <w:rPr>
          <w:szCs w:val="24"/>
        </w:rPr>
        <w:t>’</w:t>
      </w:r>
      <w:r w:rsidR="00544B82" w:rsidRPr="000459A8">
        <w:rPr>
          <w:szCs w:val="24"/>
        </w:rPr>
        <w:t xml:space="preserve">annulation de </w:t>
      </w:r>
      <w:r w:rsidRPr="000459A8">
        <w:rPr>
          <w:szCs w:val="24"/>
        </w:rPr>
        <w:t xml:space="preserve">la dénonciation, </w:t>
      </w:r>
      <w:r w:rsidR="000F5832" w:rsidRPr="000459A8">
        <w:rPr>
          <w:szCs w:val="24"/>
        </w:rPr>
        <w:t xml:space="preserve">au motif que </w:t>
      </w:r>
      <w:proofErr w:type="gramStart"/>
      <w:r w:rsidRPr="000459A8">
        <w:rPr>
          <w:szCs w:val="24"/>
        </w:rPr>
        <w:t xml:space="preserve">les </w:t>
      </w:r>
      <w:r w:rsidR="00DE579A" w:rsidRPr="000459A8">
        <w:rPr>
          <w:szCs w:val="24"/>
        </w:rPr>
        <w:t>art</w:t>
      </w:r>
      <w:proofErr w:type="gramEnd"/>
      <w:r w:rsidR="00DE579A" w:rsidRPr="000459A8">
        <w:rPr>
          <w:szCs w:val="24"/>
        </w:rPr>
        <w:t>. </w:t>
      </w:r>
      <w:r w:rsidRPr="000459A8">
        <w:rPr>
          <w:szCs w:val="24"/>
        </w:rPr>
        <w:t xml:space="preserve">60.11 </w:t>
      </w:r>
      <w:proofErr w:type="gramStart"/>
      <w:r w:rsidRPr="000459A8">
        <w:rPr>
          <w:szCs w:val="24"/>
        </w:rPr>
        <w:t>et</w:t>
      </w:r>
      <w:proofErr w:type="gramEnd"/>
      <w:r w:rsidRPr="000459A8">
        <w:rPr>
          <w:szCs w:val="24"/>
        </w:rPr>
        <w:t xml:space="preserve"> 60.12 des Règles ontariennes </w:t>
      </w:r>
      <w:r w:rsidR="000F5832" w:rsidRPr="000459A8">
        <w:rPr>
          <w:szCs w:val="24"/>
        </w:rPr>
        <w:t>f</w:t>
      </w:r>
      <w:r w:rsidR="00705C6D" w:rsidRPr="000459A8">
        <w:rPr>
          <w:szCs w:val="24"/>
        </w:rPr>
        <w:t xml:space="preserve">ont </w:t>
      </w:r>
      <w:r w:rsidR="000F5832" w:rsidRPr="000459A8">
        <w:rPr>
          <w:szCs w:val="24"/>
        </w:rPr>
        <w:t>obstacle à l</w:t>
      </w:r>
      <w:r w:rsidR="007518BB" w:rsidRPr="000459A8">
        <w:rPr>
          <w:szCs w:val="24"/>
        </w:rPr>
        <w:t>’</w:t>
      </w:r>
      <w:r w:rsidR="000F5832" w:rsidRPr="000459A8">
        <w:rPr>
          <w:szCs w:val="24"/>
        </w:rPr>
        <w:t xml:space="preserve">application </w:t>
      </w:r>
      <w:r w:rsidR="00DB3BBA" w:rsidRPr="000459A8">
        <w:rPr>
          <w:szCs w:val="24"/>
        </w:rPr>
        <w:t>d</w:t>
      </w:r>
      <w:r w:rsidR="000F5832" w:rsidRPr="000459A8">
        <w:rPr>
          <w:szCs w:val="24"/>
        </w:rPr>
        <w:t xml:space="preserve">u </w:t>
      </w:r>
      <w:r w:rsidR="00DE579A" w:rsidRPr="000459A8">
        <w:rPr>
          <w:szCs w:val="24"/>
        </w:rPr>
        <w:t>par. </w:t>
      </w:r>
      <w:r w:rsidR="000F5832" w:rsidRPr="000459A8">
        <w:rPr>
          <w:szCs w:val="24"/>
        </w:rPr>
        <w:t>127(1)</w:t>
      </w:r>
      <w:r w:rsidRPr="000459A8">
        <w:rPr>
          <w:szCs w:val="24"/>
        </w:rPr>
        <w:t>.</w:t>
      </w:r>
      <w:r w:rsidR="00160EFC" w:rsidRPr="000459A8">
        <w:rPr>
          <w:szCs w:val="24"/>
        </w:rPr>
        <w:t xml:space="preserve">  </w:t>
      </w:r>
      <w:r w:rsidR="00907D2E" w:rsidRPr="000459A8">
        <w:rPr>
          <w:szCs w:val="24"/>
        </w:rPr>
        <w:t xml:space="preserve">La Cour supérieure de justice et la Cour d’appel de l’Ontario </w:t>
      </w:r>
      <w:r w:rsidR="00544B82" w:rsidRPr="000459A8">
        <w:rPr>
          <w:szCs w:val="24"/>
        </w:rPr>
        <w:t>ont jugé que ce n</w:t>
      </w:r>
      <w:r w:rsidR="007518BB" w:rsidRPr="000459A8">
        <w:rPr>
          <w:szCs w:val="24"/>
        </w:rPr>
        <w:t>’</w:t>
      </w:r>
      <w:r w:rsidR="00705C6D" w:rsidRPr="000459A8">
        <w:rPr>
          <w:szCs w:val="24"/>
        </w:rPr>
        <w:t>est</w:t>
      </w:r>
      <w:r w:rsidR="00544B82" w:rsidRPr="000459A8">
        <w:rPr>
          <w:szCs w:val="24"/>
        </w:rPr>
        <w:t xml:space="preserve"> pas le cas.</w:t>
      </w:r>
    </w:p>
    <w:p w:rsidR="00160EFC" w:rsidRPr="000459A8" w:rsidRDefault="004E4244" w:rsidP="00DE579A">
      <w:pPr>
        <w:pStyle w:val="SCCNormalDoubleSpacing"/>
        <w:spacing w:after="480"/>
        <w:rPr>
          <w:szCs w:val="24"/>
        </w:rPr>
      </w:pPr>
      <w:r w:rsidRPr="000459A8">
        <w:rPr>
          <w:i/>
          <w:szCs w:val="24"/>
        </w:rPr>
        <w:tab/>
      </w:r>
      <w:r w:rsidR="00160EFC" w:rsidRPr="000459A8">
        <w:rPr>
          <w:i/>
          <w:szCs w:val="24"/>
        </w:rPr>
        <w:t>Arrêt</w:t>
      </w:r>
      <w:r w:rsidR="00DE579A" w:rsidRPr="000459A8">
        <w:rPr>
          <w:szCs w:val="24"/>
        </w:rPr>
        <w:t> </w:t>
      </w:r>
      <w:r w:rsidR="00160EFC" w:rsidRPr="000459A8">
        <w:rPr>
          <w:szCs w:val="24"/>
        </w:rPr>
        <w:t xml:space="preserve"> (</w:t>
      </w:r>
      <w:r w:rsidR="00F246ED" w:rsidRPr="000459A8">
        <w:rPr>
          <w:szCs w:val="24"/>
        </w:rPr>
        <w:t xml:space="preserve">le juge </w:t>
      </w:r>
      <w:r w:rsidR="00160EFC" w:rsidRPr="000459A8">
        <w:rPr>
          <w:szCs w:val="24"/>
        </w:rPr>
        <w:t xml:space="preserve">Fish </w:t>
      </w:r>
      <w:r w:rsidR="00F246ED" w:rsidRPr="000459A8">
        <w:rPr>
          <w:szCs w:val="24"/>
        </w:rPr>
        <w:t xml:space="preserve">est </w:t>
      </w:r>
      <w:r w:rsidR="00160EFC" w:rsidRPr="000459A8">
        <w:rPr>
          <w:szCs w:val="24"/>
        </w:rPr>
        <w:t>diss</w:t>
      </w:r>
      <w:r w:rsidR="00F246ED" w:rsidRPr="000459A8">
        <w:rPr>
          <w:szCs w:val="24"/>
        </w:rPr>
        <w:t>ident</w:t>
      </w:r>
      <w:r w:rsidR="00160EFC" w:rsidRPr="000459A8">
        <w:rPr>
          <w:szCs w:val="24"/>
        </w:rPr>
        <w:t xml:space="preserve">) </w:t>
      </w:r>
      <w:r w:rsidR="00444750" w:rsidRPr="000459A8">
        <w:rPr>
          <w:szCs w:val="24"/>
        </w:rPr>
        <w:t xml:space="preserve">: </w:t>
      </w:r>
      <w:r w:rsidR="00F246ED" w:rsidRPr="000459A8">
        <w:rPr>
          <w:szCs w:val="24"/>
        </w:rPr>
        <w:t>Le pourvoi est rejeté.</w:t>
      </w:r>
    </w:p>
    <w:p w:rsidR="00160EFC" w:rsidRPr="000459A8" w:rsidRDefault="004E4244" w:rsidP="00DE579A">
      <w:pPr>
        <w:pStyle w:val="SCCNormalDoubleSpacing"/>
        <w:spacing w:after="480"/>
        <w:rPr>
          <w:szCs w:val="24"/>
        </w:rPr>
      </w:pPr>
      <w:r w:rsidRPr="000459A8">
        <w:rPr>
          <w:i/>
          <w:szCs w:val="24"/>
        </w:rPr>
        <w:tab/>
      </w:r>
      <w:r w:rsidR="00F246ED" w:rsidRPr="000459A8">
        <w:rPr>
          <w:i/>
          <w:szCs w:val="24"/>
        </w:rPr>
        <w:t>La</w:t>
      </w:r>
      <w:r w:rsidR="00405B71" w:rsidRPr="000459A8">
        <w:rPr>
          <w:szCs w:val="24"/>
        </w:rPr>
        <w:t xml:space="preserve"> j</w:t>
      </w:r>
      <w:r w:rsidR="00F246ED" w:rsidRPr="000459A8">
        <w:rPr>
          <w:szCs w:val="24"/>
        </w:rPr>
        <w:t xml:space="preserve">uge en chef </w:t>
      </w:r>
      <w:proofErr w:type="spellStart"/>
      <w:r w:rsidR="00405B71" w:rsidRPr="000459A8">
        <w:rPr>
          <w:szCs w:val="24"/>
        </w:rPr>
        <w:t>McLachlin</w:t>
      </w:r>
      <w:proofErr w:type="spellEnd"/>
      <w:r w:rsidR="00405B71" w:rsidRPr="000459A8">
        <w:rPr>
          <w:szCs w:val="24"/>
        </w:rPr>
        <w:t xml:space="preserve"> </w:t>
      </w:r>
      <w:r w:rsidR="00F246ED" w:rsidRPr="000459A8">
        <w:rPr>
          <w:szCs w:val="24"/>
        </w:rPr>
        <w:t xml:space="preserve">et les juges </w:t>
      </w:r>
      <w:proofErr w:type="spellStart"/>
      <w:r w:rsidR="00160EFC" w:rsidRPr="000459A8">
        <w:rPr>
          <w:szCs w:val="24"/>
        </w:rPr>
        <w:t>LeBel</w:t>
      </w:r>
      <w:proofErr w:type="spellEnd"/>
      <w:r w:rsidR="00160EFC" w:rsidRPr="000459A8">
        <w:rPr>
          <w:szCs w:val="24"/>
        </w:rPr>
        <w:t>, Deschamps, Abella</w:t>
      </w:r>
      <w:r w:rsidR="00405B71" w:rsidRPr="000459A8">
        <w:rPr>
          <w:szCs w:val="24"/>
        </w:rPr>
        <w:t>,</w:t>
      </w:r>
      <w:r w:rsidR="00160EFC" w:rsidRPr="000459A8">
        <w:rPr>
          <w:szCs w:val="24"/>
        </w:rPr>
        <w:t xml:space="preserve"> </w:t>
      </w:r>
      <w:proofErr w:type="spellStart"/>
      <w:r w:rsidR="00160EFC" w:rsidRPr="000459A8">
        <w:rPr>
          <w:szCs w:val="24"/>
        </w:rPr>
        <w:t>Rothstein</w:t>
      </w:r>
      <w:proofErr w:type="spellEnd"/>
      <w:r w:rsidR="00160EFC" w:rsidRPr="000459A8">
        <w:rPr>
          <w:szCs w:val="24"/>
        </w:rPr>
        <w:t xml:space="preserve">, Cromwell, </w:t>
      </w:r>
      <w:proofErr w:type="spellStart"/>
      <w:r w:rsidR="00160EFC" w:rsidRPr="000459A8">
        <w:rPr>
          <w:szCs w:val="24"/>
        </w:rPr>
        <w:t>Moldaver</w:t>
      </w:r>
      <w:proofErr w:type="spellEnd"/>
      <w:r w:rsidR="00160EFC" w:rsidRPr="000459A8">
        <w:rPr>
          <w:szCs w:val="24"/>
        </w:rPr>
        <w:t xml:space="preserve"> </w:t>
      </w:r>
      <w:r w:rsidR="00F246ED" w:rsidRPr="000459A8">
        <w:rPr>
          <w:szCs w:val="24"/>
        </w:rPr>
        <w:t xml:space="preserve">et </w:t>
      </w:r>
      <w:proofErr w:type="spellStart"/>
      <w:r w:rsidR="00160EFC" w:rsidRPr="000459A8">
        <w:rPr>
          <w:szCs w:val="24"/>
        </w:rPr>
        <w:t>Karakatsanis</w:t>
      </w:r>
      <w:proofErr w:type="spellEnd"/>
      <w:r w:rsidR="000C1878" w:rsidRPr="000459A8">
        <w:rPr>
          <w:szCs w:val="24"/>
        </w:rPr>
        <w:t>.</w:t>
      </w:r>
      <w:r w:rsidR="00160EFC" w:rsidRPr="000459A8">
        <w:rPr>
          <w:szCs w:val="24"/>
        </w:rPr>
        <w:t xml:space="preserve"> </w:t>
      </w:r>
      <w:r w:rsidR="00DE579A" w:rsidRPr="000459A8">
        <w:rPr>
          <w:szCs w:val="24"/>
        </w:rPr>
        <w:t xml:space="preserve"> </w:t>
      </w:r>
      <w:r w:rsidR="00544B82" w:rsidRPr="000459A8">
        <w:rPr>
          <w:szCs w:val="24"/>
        </w:rPr>
        <w:t>L</w:t>
      </w:r>
      <w:r w:rsidR="007518BB" w:rsidRPr="000459A8">
        <w:rPr>
          <w:szCs w:val="24"/>
        </w:rPr>
        <w:t>’</w:t>
      </w:r>
      <w:r w:rsidR="00544B82" w:rsidRPr="000459A8">
        <w:rPr>
          <w:szCs w:val="24"/>
        </w:rPr>
        <w:t>exception prévue à l</w:t>
      </w:r>
      <w:r w:rsidR="007518BB" w:rsidRPr="000459A8">
        <w:rPr>
          <w:szCs w:val="24"/>
        </w:rPr>
        <w:t>’</w:t>
      </w:r>
      <w:r w:rsidR="00DE579A" w:rsidRPr="000459A8">
        <w:rPr>
          <w:szCs w:val="24"/>
        </w:rPr>
        <w:t>art. </w:t>
      </w:r>
      <w:r w:rsidR="00544B82" w:rsidRPr="000459A8">
        <w:rPr>
          <w:szCs w:val="24"/>
        </w:rPr>
        <w:t>127 s</w:t>
      </w:r>
      <w:r w:rsidR="007518BB" w:rsidRPr="000459A8">
        <w:rPr>
          <w:szCs w:val="24"/>
        </w:rPr>
        <w:t>’</w:t>
      </w:r>
      <w:r w:rsidR="00544B82" w:rsidRPr="000459A8">
        <w:rPr>
          <w:szCs w:val="24"/>
        </w:rPr>
        <w:t>applique si le Parlement ou une législature a établi le fondement légal du pouvoir du tribunal de rendre des ordonnances pour outrage, a défini les circonstances dans lesquelles une personne sera reconnue coupable d</w:t>
      </w:r>
      <w:r w:rsidR="007518BB" w:rsidRPr="000459A8">
        <w:rPr>
          <w:szCs w:val="24"/>
        </w:rPr>
        <w:t>’</w:t>
      </w:r>
      <w:r w:rsidR="00544B82" w:rsidRPr="000459A8">
        <w:rPr>
          <w:szCs w:val="24"/>
        </w:rPr>
        <w:t>outrage et a prévu une peine ou un mode de procédure particulier</w:t>
      </w:r>
      <w:r w:rsidR="00DE579A" w:rsidRPr="000459A8">
        <w:rPr>
          <w:szCs w:val="24"/>
        </w:rPr>
        <w:t xml:space="preserve">.  </w:t>
      </w:r>
      <w:r w:rsidR="00B1341A" w:rsidRPr="000459A8">
        <w:rPr>
          <w:szCs w:val="24"/>
        </w:rPr>
        <w:t>L</w:t>
      </w:r>
      <w:r w:rsidR="007518BB" w:rsidRPr="000459A8">
        <w:rPr>
          <w:szCs w:val="24"/>
        </w:rPr>
        <w:t>’</w:t>
      </w:r>
      <w:r w:rsidR="00B1341A" w:rsidRPr="000459A8">
        <w:rPr>
          <w:szCs w:val="24"/>
        </w:rPr>
        <w:t xml:space="preserve">arrêt </w:t>
      </w:r>
      <w:r w:rsidR="002049D2" w:rsidRPr="000459A8">
        <w:rPr>
          <w:i/>
          <w:szCs w:val="24"/>
        </w:rPr>
        <w:t xml:space="preserve">R. c. </w:t>
      </w:r>
      <w:proofErr w:type="spellStart"/>
      <w:r w:rsidR="002049D2" w:rsidRPr="000459A8">
        <w:rPr>
          <w:i/>
          <w:szCs w:val="24"/>
        </w:rPr>
        <w:t>C</w:t>
      </w:r>
      <w:r w:rsidR="00B1341A" w:rsidRPr="000459A8">
        <w:rPr>
          <w:i/>
          <w:szCs w:val="24"/>
        </w:rPr>
        <w:t>lement</w:t>
      </w:r>
      <w:proofErr w:type="spellEnd"/>
      <w:r w:rsidR="00B1341A" w:rsidRPr="000459A8">
        <w:rPr>
          <w:szCs w:val="24"/>
        </w:rPr>
        <w:t xml:space="preserve"> enseigne que ni le degré de </w:t>
      </w:r>
      <w:r w:rsidR="00B1341A" w:rsidRPr="000459A8">
        <w:rPr>
          <w:szCs w:val="24"/>
        </w:rPr>
        <w:lastRenderedPageBreak/>
        <w:t>précision de la peine, ni le caractère exhaustif de la procédure ne permettent de déterminer si une loi satisfait aux conditions nécessaires pour exclure l</w:t>
      </w:r>
      <w:r w:rsidR="007518BB" w:rsidRPr="000459A8">
        <w:rPr>
          <w:szCs w:val="24"/>
        </w:rPr>
        <w:t>’</w:t>
      </w:r>
      <w:r w:rsidR="00B1341A" w:rsidRPr="000459A8">
        <w:rPr>
          <w:szCs w:val="24"/>
        </w:rPr>
        <w:t>application de l</w:t>
      </w:r>
      <w:r w:rsidR="007518BB" w:rsidRPr="000459A8">
        <w:rPr>
          <w:szCs w:val="24"/>
        </w:rPr>
        <w:t>’</w:t>
      </w:r>
      <w:r w:rsidR="00DE579A" w:rsidRPr="000459A8">
        <w:rPr>
          <w:szCs w:val="24"/>
        </w:rPr>
        <w:t>art. </w:t>
      </w:r>
      <w:r w:rsidR="00B1341A" w:rsidRPr="000459A8">
        <w:rPr>
          <w:szCs w:val="24"/>
        </w:rPr>
        <w:t>127</w:t>
      </w:r>
      <w:r w:rsidR="002049D2" w:rsidRPr="000459A8">
        <w:rPr>
          <w:szCs w:val="24"/>
        </w:rPr>
        <w:t xml:space="preserve"> du </w:t>
      </w:r>
      <w:r w:rsidR="002049D2" w:rsidRPr="000459A8">
        <w:rPr>
          <w:i/>
          <w:szCs w:val="24"/>
        </w:rPr>
        <w:t>C</w:t>
      </w:r>
      <w:r w:rsidR="00405B71" w:rsidRPr="000459A8">
        <w:rPr>
          <w:i/>
          <w:szCs w:val="24"/>
        </w:rPr>
        <w:t>ode</w:t>
      </w:r>
      <w:r w:rsidR="002049D2" w:rsidRPr="000459A8">
        <w:rPr>
          <w:i/>
          <w:szCs w:val="24"/>
        </w:rPr>
        <w:t xml:space="preserve"> c</w:t>
      </w:r>
      <w:r w:rsidR="00405B71" w:rsidRPr="000459A8">
        <w:rPr>
          <w:i/>
          <w:szCs w:val="24"/>
        </w:rPr>
        <w:t>riminel</w:t>
      </w:r>
      <w:r w:rsidR="002049D2" w:rsidRPr="000459A8">
        <w:rPr>
          <w:szCs w:val="24"/>
        </w:rPr>
        <w:t>.</w:t>
      </w:r>
      <w:r w:rsidR="00B1341A" w:rsidRPr="000459A8">
        <w:rPr>
          <w:szCs w:val="24"/>
        </w:rPr>
        <w:t xml:space="preserve">  La décision sur ce point doit plutôt reposer sur la conclusion que le Parlement ou la législature avait l</w:t>
      </w:r>
      <w:r w:rsidR="007518BB" w:rsidRPr="000459A8">
        <w:rPr>
          <w:szCs w:val="24"/>
        </w:rPr>
        <w:t>’</w:t>
      </w:r>
      <w:r w:rsidR="00B1341A" w:rsidRPr="000459A8">
        <w:rPr>
          <w:szCs w:val="24"/>
        </w:rPr>
        <w:t>intention de restreindre l</w:t>
      </w:r>
      <w:r w:rsidR="007518BB" w:rsidRPr="000459A8">
        <w:rPr>
          <w:szCs w:val="24"/>
        </w:rPr>
        <w:t>’</w:t>
      </w:r>
      <w:r w:rsidR="00B1341A" w:rsidRPr="000459A8">
        <w:rPr>
          <w:szCs w:val="24"/>
        </w:rPr>
        <w:t>application de l</w:t>
      </w:r>
      <w:r w:rsidR="007518BB" w:rsidRPr="000459A8">
        <w:rPr>
          <w:szCs w:val="24"/>
        </w:rPr>
        <w:t>’</w:t>
      </w:r>
      <w:r w:rsidR="00DE579A" w:rsidRPr="000459A8">
        <w:rPr>
          <w:szCs w:val="24"/>
        </w:rPr>
        <w:t>art. </w:t>
      </w:r>
      <w:r w:rsidR="00B1341A" w:rsidRPr="000459A8">
        <w:rPr>
          <w:szCs w:val="24"/>
        </w:rPr>
        <w:t>127 en adoptant une autre solution législative expresse aux actes qui constituent un outrage au tribun</w:t>
      </w:r>
      <w:r w:rsidR="00DE579A" w:rsidRPr="000459A8">
        <w:rPr>
          <w:szCs w:val="24"/>
        </w:rPr>
        <w:t xml:space="preserve">al.  </w:t>
      </w:r>
      <w:r w:rsidR="002D548A" w:rsidRPr="000459A8">
        <w:rPr>
          <w:szCs w:val="24"/>
        </w:rPr>
        <w:t>Le fait que des règles de procédure prévoient une peine ou un mode de procédure est également insuffisant pour entraîner l</w:t>
      </w:r>
      <w:r w:rsidR="007518BB" w:rsidRPr="000459A8">
        <w:rPr>
          <w:szCs w:val="24"/>
        </w:rPr>
        <w:t>’</w:t>
      </w:r>
      <w:r w:rsidR="002D548A" w:rsidRPr="000459A8">
        <w:rPr>
          <w:szCs w:val="24"/>
        </w:rPr>
        <w:t>application de l</w:t>
      </w:r>
      <w:r w:rsidR="007518BB" w:rsidRPr="000459A8">
        <w:rPr>
          <w:szCs w:val="24"/>
        </w:rPr>
        <w:t>’</w:t>
      </w:r>
      <w:r w:rsidR="002D548A" w:rsidRPr="000459A8">
        <w:rPr>
          <w:szCs w:val="24"/>
        </w:rPr>
        <w:t>exception si le tribunal rend l</w:t>
      </w:r>
      <w:r w:rsidR="007518BB" w:rsidRPr="000459A8">
        <w:rPr>
          <w:szCs w:val="24"/>
        </w:rPr>
        <w:t>’</w:t>
      </w:r>
      <w:r w:rsidR="002D548A" w:rsidRPr="000459A8">
        <w:rPr>
          <w:szCs w:val="24"/>
        </w:rPr>
        <w:t>ordonnance dans l</w:t>
      </w:r>
      <w:r w:rsidR="007518BB" w:rsidRPr="000459A8">
        <w:rPr>
          <w:szCs w:val="24"/>
        </w:rPr>
        <w:t>’</w:t>
      </w:r>
      <w:r w:rsidR="002D548A" w:rsidRPr="000459A8">
        <w:rPr>
          <w:szCs w:val="24"/>
        </w:rPr>
        <w:t>exercice du pouvoir inhérent qu</w:t>
      </w:r>
      <w:r w:rsidR="007518BB" w:rsidRPr="000459A8">
        <w:rPr>
          <w:szCs w:val="24"/>
        </w:rPr>
        <w:t>’</w:t>
      </w:r>
      <w:r w:rsidR="002D548A" w:rsidRPr="000459A8">
        <w:rPr>
          <w:szCs w:val="24"/>
        </w:rPr>
        <w:t xml:space="preserve">il tient de la </w:t>
      </w:r>
      <w:proofErr w:type="spellStart"/>
      <w:r w:rsidR="002D548A" w:rsidRPr="000459A8">
        <w:rPr>
          <w:szCs w:val="24"/>
        </w:rPr>
        <w:t>common</w:t>
      </w:r>
      <w:proofErr w:type="spellEnd"/>
      <w:r w:rsidR="002D548A" w:rsidRPr="000459A8">
        <w:rPr>
          <w:szCs w:val="24"/>
        </w:rPr>
        <w:t xml:space="preserve"> </w:t>
      </w:r>
      <w:proofErr w:type="spellStart"/>
      <w:r w:rsidR="002D548A" w:rsidRPr="000459A8">
        <w:rPr>
          <w:szCs w:val="24"/>
        </w:rPr>
        <w:t>law</w:t>
      </w:r>
      <w:proofErr w:type="spellEnd"/>
      <w:r w:rsidR="002D548A" w:rsidRPr="000459A8">
        <w:rPr>
          <w:szCs w:val="24"/>
        </w:rPr>
        <w:t>.</w:t>
      </w:r>
      <w:r w:rsidR="00160EFC" w:rsidRPr="000459A8">
        <w:rPr>
          <w:szCs w:val="24"/>
        </w:rPr>
        <w:t xml:space="preserve">  </w:t>
      </w:r>
      <w:r w:rsidR="00C82C2A" w:rsidRPr="000459A8">
        <w:rPr>
          <w:szCs w:val="24"/>
        </w:rPr>
        <w:t>Les Règles ontariennes ne définissent pas l</w:t>
      </w:r>
      <w:r w:rsidR="007518BB" w:rsidRPr="000459A8">
        <w:rPr>
          <w:szCs w:val="24"/>
        </w:rPr>
        <w:t>’</w:t>
      </w:r>
      <w:r w:rsidR="00C82C2A" w:rsidRPr="000459A8">
        <w:rPr>
          <w:szCs w:val="24"/>
        </w:rPr>
        <w:t>outrage et ne précisent pas les circonstances dans lesquelles une personne sera déclarée coupable d</w:t>
      </w:r>
      <w:r w:rsidR="007518BB" w:rsidRPr="000459A8">
        <w:rPr>
          <w:szCs w:val="24"/>
        </w:rPr>
        <w:t>’</w:t>
      </w:r>
      <w:r w:rsidR="00C82C2A" w:rsidRPr="000459A8">
        <w:rPr>
          <w:szCs w:val="24"/>
        </w:rPr>
        <w:t>outrage.  Le juge doit donc s</w:t>
      </w:r>
      <w:r w:rsidR="007518BB" w:rsidRPr="000459A8">
        <w:rPr>
          <w:szCs w:val="24"/>
        </w:rPr>
        <w:t>’</w:t>
      </w:r>
      <w:r w:rsidR="00C82C2A" w:rsidRPr="000459A8">
        <w:rPr>
          <w:szCs w:val="24"/>
        </w:rPr>
        <w:t xml:space="preserve">appuyer sur le « substrat de </w:t>
      </w:r>
      <w:proofErr w:type="spellStart"/>
      <w:r w:rsidR="00C82C2A" w:rsidRPr="00C948F0">
        <w:rPr>
          <w:szCs w:val="24"/>
        </w:rPr>
        <w:t>common</w:t>
      </w:r>
      <w:proofErr w:type="spellEnd"/>
      <w:r w:rsidR="00C82C2A" w:rsidRPr="00C948F0">
        <w:rPr>
          <w:szCs w:val="24"/>
        </w:rPr>
        <w:t xml:space="preserve"> </w:t>
      </w:r>
      <w:proofErr w:type="spellStart"/>
      <w:r w:rsidR="00C82C2A" w:rsidRPr="00C948F0">
        <w:rPr>
          <w:szCs w:val="24"/>
        </w:rPr>
        <w:t>law</w:t>
      </w:r>
      <w:proofErr w:type="spellEnd"/>
      <w:r w:rsidR="00C82C2A" w:rsidRPr="00C948F0">
        <w:rPr>
          <w:szCs w:val="24"/>
        </w:rPr>
        <w:t xml:space="preserve"> </w:t>
      </w:r>
      <w:r w:rsidR="00C82C2A" w:rsidRPr="000459A8">
        <w:rPr>
          <w:szCs w:val="24"/>
        </w:rPr>
        <w:t>» pour rendre une ordonnance pour outrage en application de la règle 60.11.  En outre, les Règles ontariennes n</w:t>
      </w:r>
      <w:r w:rsidR="007518BB" w:rsidRPr="000459A8">
        <w:rPr>
          <w:szCs w:val="24"/>
        </w:rPr>
        <w:t>’</w:t>
      </w:r>
      <w:r w:rsidR="00C82C2A" w:rsidRPr="000459A8">
        <w:rPr>
          <w:szCs w:val="24"/>
        </w:rPr>
        <w:t>établissent pas non plus le fondement légal d</w:t>
      </w:r>
      <w:r w:rsidR="007518BB" w:rsidRPr="000459A8">
        <w:rPr>
          <w:szCs w:val="24"/>
        </w:rPr>
        <w:t>’</w:t>
      </w:r>
      <w:r w:rsidR="00C82C2A" w:rsidRPr="000459A8">
        <w:rPr>
          <w:szCs w:val="24"/>
        </w:rPr>
        <w:t>une procédure pour outrage, mais circonscrivent seulement</w:t>
      </w:r>
      <w:r w:rsidR="00A27DA6" w:rsidRPr="000459A8">
        <w:rPr>
          <w:szCs w:val="24"/>
        </w:rPr>
        <w:t xml:space="preserve"> </w:t>
      </w:r>
      <w:r w:rsidR="00C82C2A" w:rsidRPr="000459A8">
        <w:rPr>
          <w:szCs w:val="24"/>
        </w:rPr>
        <w:t>le pouvoir du juge de prononcer des ordonnances quand il déclare quelqu</w:t>
      </w:r>
      <w:r w:rsidR="007518BB" w:rsidRPr="000459A8">
        <w:rPr>
          <w:szCs w:val="24"/>
        </w:rPr>
        <w:t>’</w:t>
      </w:r>
      <w:r w:rsidR="00C82C2A" w:rsidRPr="000459A8">
        <w:rPr>
          <w:szCs w:val="24"/>
        </w:rPr>
        <w:t>un coupable d</w:t>
      </w:r>
      <w:r w:rsidR="007518BB" w:rsidRPr="000459A8">
        <w:rPr>
          <w:szCs w:val="24"/>
        </w:rPr>
        <w:t>’</w:t>
      </w:r>
      <w:r w:rsidR="00C82C2A" w:rsidRPr="000459A8">
        <w:rPr>
          <w:szCs w:val="24"/>
        </w:rPr>
        <w:t>outrage</w:t>
      </w:r>
      <w:r w:rsidR="00DE579A" w:rsidRPr="000459A8">
        <w:rPr>
          <w:szCs w:val="24"/>
        </w:rPr>
        <w:t xml:space="preserve">.  </w:t>
      </w:r>
      <w:r w:rsidR="003E02EB" w:rsidRPr="000459A8">
        <w:rPr>
          <w:szCs w:val="24"/>
        </w:rPr>
        <w:t xml:space="preserve">Il faut aussi avoir recours à la </w:t>
      </w:r>
      <w:proofErr w:type="spellStart"/>
      <w:r w:rsidR="003E02EB" w:rsidRPr="000459A8">
        <w:rPr>
          <w:szCs w:val="24"/>
        </w:rPr>
        <w:t>common</w:t>
      </w:r>
      <w:proofErr w:type="spellEnd"/>
      <w:r w:rsidR="003E02EB" w:rsidRPr="000459A8">
        <w:rPr>
          <w:szCs w:val="24"/>
        </w:rPr>
        <w:t xml:space="preserve"> </w:t>
      </w:r>
      <w:proofErr w:type="spellStart"/>
      <w:r w:rsidR="003E02EB" w:rsidRPr="000459A8">
        <w:rPr>
          <w:szCs w:val="24"/>
        </w:rPr>
        <w:t>law</w:t>
      </w:r>
      <w:proofErr w:type="spellEnd"/>
      <w:r w:rsidR="003E02EB" w:rsidRPr="000459A8">
        <w:rPr>
          <w:szCs w:val="24"/>
        </w:rPr>
        <w:t xml:space="preserve"> pour déterminer la peine à infliger au délinquant.  Les règles 60.11 et 60.12 exposent de façon très détaillée la procédure à suivre sur présentation d</w:t>
      </w:r>
      <w:r w:rsidR="007518BB" w:rsidRPr="000459A8">
        <w:rPr>
          <w:szCs w:val="24"/>
        </w:rPr>
        <w:t>’</w:t>
      </w:r>
      <w:r w:rsidR="003E02EB" w:rsidRPr="000459A8">
        <w:rPr>
          <w:szCs w:val="24"/>
        </w:rPr>
        <w:t xml:space="preserve">une motion visant à obtenir une ordonnance pour outrage, mais, compte tenu du raisonnement adopté par la Cour dans </w:t>
      </w:r>
      <w:proofErr w:type="spellStart"/>
      <w:r w:rsidR="003E02EB" w:rsidRPr="000459A8">
        <w:rPr>
          <w:i/>
          <w:szCs w:val="24"/>
        </w:rPr>
        <w:t>Clement</w:t>
      </w:r>
      <w:proofErr w:type="spellEnd"/>
      <w:r w:rsidR="003E02EB" w:rsidRPr="000459A8">
        <w:rPr>
          <w:szCs w:val="24"/>
        </w:rPr>
        <w:t>, la procédure à elle seule est insuffisante pour entraîner l</w:t>
      </w:r>
      <w:r w:rsidR="007518BB" w:rsidRPr="000459A8">
        <w:rPr>
          <w:szCs w:val="24"/>
        </w:rPr>
        <w:t>’</w:t>
      </w:r>
      <w:r w:rsidR="003E02EB" w:rsidRPr="000459A8">
        <w:rPr>
          <w:szCs w:val="24"/>
        </w:rPr>
        <w:t>application de l</w:t>
      </w:r>
      <w:r w:rsidR="007518BB" w:rsidRPr="000459A8">
        <w:rPr>
          <w:szCs w:val="24"/>
        </w:rPr>
        <w:t>’</w:t>
      </w:r>
      <w:r w:rsidR="003E02EB" w:rsidRPr="000459A8">
        <w:rPr>
          <w:szCs w:val="24"/>
        </w:rPr>
        <w:t>exception prévue à l</w:t>
      </w:r>
      <w:r w:rsidR="007518BB" w:rsidRPr="000459A8">
        <w:rPr>
          <w:szCs w:val="24"/>
        </w:rPr>
        <w:t>’</w:t>
      </w:r>
      <w:r w:rsidR="00DE579A" w:rsidRPr="000459A8">
        <w:rPr>
          <w:szCs w:val="24"/>
        </w:rPr>
        <w:t>art. </w:t>
      </w:r>
      <w:r w:rsidR="003E02EB" w:rsidRPr="000459A8">
        <w:rPr>
          <w:szCs w:val="24"/>
        </w:rPr>
        <w:t>127.</w:t>
      </w:r>
    </w:p>
    <w:p w:rsidR="00160EFC" w:rsidRPr="000459A8" w:rsidRDefault="004E4244" w:rsidP="00DE579A">
      <w:pPr>
        <w:pStyle w:val="SCCNormalDoubleSpacing"/>
        <w:spacing w:after="480"/>
        <w:rPr>
          <w:szCs w:val="24"/>
        </w:rPr>
      </w:pPr>
      <w:r w:rsidRPr="000459A8">
        <w:rPr>
          <w:i/>
          <w:szCs w:val="24"/>
        </w:rPr>
        <w:tab/>
      </w:r>
      <w:r w:rsidR="003E02EB" w:rsidRPr="000459A8">
        <w:rPr>
          <w:i/>
          <w:szCs w:val="24"/>
        </w:rPr>
        <w:t>Le</w:t>
      </w:r>
      <w:r w:rsidR="003E02EB" w:rsidRPr="000459A8">
        <w:rPr>
          <w:szCs w:val="24"/>
        </w:rPr>
        <w:t xml:space="preserve"> juge </w:t>
      </w:r>
      <w:r w:rsidR="00160EFC" w:rsidRPr="000459A8">
        <w:rPr>
          <w:szCs w:val="24"/>
        </w:rPr>
        <w:t>Fish (diss</w:t>
      </w:r>
      <w:r w:rsidR="003E02EB" w:rsidRPr="000459A8">
        <w:rPr>
          <w:szCs w:val="24"/>
        </w:rPr>
        <w:t>ident</w:t>
      </w:r>
      <w:r w:rsidR="00160EFC" w:rsidRPr="000459A8">
        <w:rPr>
          <w:szCs w:val="24"/>
        </w:rPr>
        <w:t>)</w:t>
      </w:r>
      <w:r w:rsidR="00DE579A" w:rsidRPr="000459A8">
        <w:rPr>
          <w:szCs w:val="24"/>
        </w:rPr>
        <w:t> :</w:t>
      </w:r>
      <w:r w:rsidR="001F0791" w:rsidRPr="000459A8">
        <w:rPr>
          <w:szCs w:val="24"/>
        </w:rPr>
        <w:t xml:space="preserve"> </w:t>
      </w:r>
      <w:r w:rsidR="003E02EB" w:rsidRPr="000459A8">
        <w:rPr>
          <w:szCs w:val="24"/>
        </w:rPr>
        <w:t>La règle 60.11(1), qui est autorisée par une loi, constitue le fondement législatif de l</w:t>
      </w:r>
      <w:r w:rsidR="007518BB" w:rsidRPr="000459A8">
        <w:rPr>
          <w:szCs w:val="24"/>
        </w:rPr>
        <w:t>’</w:t>
      </w:r>
      <w:r w:rsidR="003E02EB" w:rsidRPr="000459A8">
        <w:rPr>
          <w:szCs w:val="24"/>
        </w:rPr>
        <w:t>exécution forcée des ordonnances judiciaires.</w:t>
      </w:r>
      <w:r w:rsidR="00752D25" w:rsidRPr="000459A8">
        <w:rPr>
          <w:szCs w:val="24"/>
        </w:rPr>
        <w:t xml:space="preserve">  </w:t>
      </w:r>
      <w:r w:rsidR="00636402" w:rsidRPr="000459A8">
        <w:rPr>
          <w:szCs w:val="24"/>
        </w:rPr>
        <w:lastRenderedPageBreak/>
        <w:t>Elle établit de manière détaillée le cadre procédural régissant l</w:t>
      </w:r>
      <w:r w:rsidR="007518BB" w:rsidRPr="000459A8">
        <w:rPr>
          <w:szCs w:val="24"/>
        </w:rPr>
        <w:t>’</w:t>
      </w:r>
      <w:r w:rsidR="00636402" w:rsidRPr="000459A8">
        <w:rPr>
          <w:szCs w:val="24"/>
        </w:rPr>
        <w:t>obtention, le prononcé et l</w:t>
      </w:r>
      <w:r w:rsidR="007518BB" w:rsidRPr="000459A8">
        <w:rPr>
          <w:szCs w:val="24"/>
        </w:rPr>
        <w:t>’</w:t>
      </w:r>
      <w:r w:rsidR="00636402" w:rsidRPr="000459A8">
        <w:rPr>
          <w:szCs w:val="24"/>
        </w:rPr>
        <w:t>exécution forcée des ordonnances qu</w:t>
      </w:r>
      <w:r w:rsidR="007518BB" w:rsidRPr="000459A8">
        <w:rPr>
          <w:szCs w:val="24"/>
        </w:rPr>
        <w:t>’</w:t>
      </w:r>
      <w:r w:rsidR="00636402" w:rsidRPr="000459A8">
        <w:rPr>
          <w:szCs w:val="24"/>
        </w:rPr>
        <w:t>elle prévoit expressément.  Le pouvoir de rendre et d</w:t>
      </w:r>
      <w:r w:rsidR="007518BB" w:rsidRPr="000459A8">
        <w:rPr>
          <w:szCs w:val="24"/>
        </w:rPr>
        <w:t>’</w:t>
      </w:r>
      <w:r w:rsidR="00636402" w:rsidRPr="000459A8">
        <w:rPr>
          <w:szCs w:val="24"/>
        </w:rPr>
        <w:t xml:space="preserve">exécuter une telle ordonnance découle de la promulgation de cette règle, et non des pouvoirs inhérents que les cours supérieures tiennent de la </w:t>
      </w:r>
      <w:proofErr w:type="spellStart"/>
      <w:r w:rsidR="00636402" w:rsidRPr="000459A8">
        <w:rPr>
          <w:szCs w:val="24"/>
        </w:rPr>
        <w:t>common</w:t>
      </w:r>
      <w:proofErr w:type="spellEnd"/>
      <w:r w:rsidR="00636402" w:rsidRPr="000459A8">
        <w:rPr>
          <w:szCs w:val="24"/>
        </w:rPr>
        <w:t xml:space="preserve"> </w:t>
      </w:r>
      <w:proofErr w:type="spellStart"/>
      <w:r w:rsidR="00636402" w:rsidRPr="000459A8">
        <w:rPr>
          <w:szCs w:val="24"/>
        </w:rPr>
        <w:t>law</w:t>
      </w:r>
      <w:proofErr w:type="spellEnd"/>
      <w:r w:rsidR="00636402" w:rsidRPr="000459A8">
        <w:rPr>
          <w:szCs w:val="24"/>
        </w:rPr>
        <w:t>.  Il en va de même pour les sanctions</w:t>
      </w:r>
      <w:r w:rsidR="00DE579A" w:rsidRPr="000459A8">
        <w:rPr>
          <w:szCs w:val="24"/>
        </w:rPr>
        <w:t> :</w:t>
      </w:r>
      <w:r w:rsidR="00636402" w:rsidRPr="000459A8">
        <w:rPr>
          <w:szCs w:val="24"/>
        </w:rPr>
        <w:t xml:space="preserve"> elles sont expressément énoncées dans les règles pertinentes, et ni le pouvoir ni les sanctions ne dépendent des règles de </w:t>
      </w:r>
      <w:proofErr w:type="spellStart"/>
      <w:r w:rsidR="00636402" w:rsidRPr="000459A8">
        <w:rPr>
          <w:szCs w:val="24"/>
        </w:rPr>
        <w:t>common</w:t>
      </w:r>
      <w:proofErr w:type="spellEnd"/>
      <w:r w:rsidR="00636402" w:rsidRPr="000459A8">
        <w:rPr>
          <w:szCs w:val="24"/>
        </w:rPr>
        <w:t xml:space="preserve"> </w:t>
      </w:r>
      <w:proofErr w:type="spellStart"/>
      <w:r w:rsidR="00636402" w:rsidRPr="000459A8">
        <w:rPr>
          <w:szCs w:val="24"/>
        </w:rPr>
        <w:t>law</w:t>
      </w:r>
      <w:proofErr w:type="spellEnd"/>
      <w:r w:rsidR="00636402" w:rsidRPr="000459A8">
        <w:rPr>
          <w:szCs w:val="24"/>
        </w:rPr>
        <w:t xml:space="preserve"> régissant le refus d</w:t>
      </w:r>
      <w:r w:rsidR="007518BB" w:rsidRPr="000459A8">
        <w:rPr>
          <w:szCs w:val="24"/>
        </w:rPr>
        <w:t>’</w:t>
      </w:r>
      <w:r w:rsidR="00636402" w:rsidRPr="000459A8">
        <w:rPr>
          <w:szCs w:val="24"/>
        </w:rPr>
        <w:t>obtempérer à une ordonnance judiciaire ou ne sont circonscrites par ces règles</w:t>
      </w:r>
      <w:r w:rsidR="00DE579A" w:rsidRPr="000459A8">
        <w:rPr>
          <w:szCs w:val="24"/>
        </w:rPr>
        <w:t xml:space="preserve">.  </w:t>
      </w:r>
      <w:r w:rsidR="00752D25" w:rsidRPr="000459A8">
        <w:rPr>
          <w:szCs w:val="24"/>
        </w:rPr>
        <w:t>D</w:t>
      </w:r>
      <w:r w:rsidR="00715621" w:rsidRPr="000459A8">
        <w:rPr>
          <w:szCs w:val="24"/>
        </w:rPr>
        <w:t>e toute évidence, ce régime législatif n</w:t>
      </w:r>
      <w:r w:rsidR="007518BB" w:rsidRPr="000459A8">
        <w:rPr>
          <w:szCs w:val="24"/>
        </w:rPr>
        <w:t>’</w:t>
      </w:r>
      <w:r w:rsidR="00715621" w:rsidRPr="000459A8">
        <w:rPr>
          <w:szCs w:val="24"/>
        </w:rPr>
        <w:t xml:space="preserve">est aucunement analogue aux règles qui étaient examinées dans </w:t>
      </w:r>
      <w:proofErr w:type="spellStart"/>
      <w:r w:rsidR="00715621" w:rsidRPr="000459A8">
        <w:rPr>
          <w:i/>
          <w:szCs w:val="24"/>
        </w:rPr>
        <w:t>Clement</w:t>
      </w:r>
      <w:proofErr w:type="spellEnd"/>
      <w:r w:rsidR="00715621" w:rsidRPr="000459A8">
        <w:rPr>
          <w:szCs w:val="24"/>
        </w:rPr>
        <w:t xml:space="preserve">.  Les règles 60.11 et 60.12 ne font pas que reconnaître ou préserver la </w:t>
      </w:r>
      <w:proofErr w:type="spellStart"/>
      <w:r w:rsidR="00715621" w:rsidRPr="000459A8">
        <w:rPr>
          <w:szCs w:val="24"/>
        </w:rPr>
        <w:t>common</w:t>
      </w:r>
      <w:proofErr w:type="spellEnd"/>
      <w:r w:rsidR="00715621" w:rsidRPr="000459A8">
        <w:rPr>
          <w:szCs w:val="24"/>
        </w:rPr>
        <w:t xml:space="preserve"> </w:t>
      </w:r>
      <w:proofErr w:type="spellStart"/>
      <w:r w:rsidR="00715621" w:rsidRPr="000459A8">
        <w:rPr>
          <w:szCs w:val="24"/>
        </w:rPr>
        <w:t>la</w:t>
      </w:r>
      <w:r w:rsidR="00716816">
        <w:rPr>
          <w:szCs w:val="24"/>
        </w:rPr>
        <w:t>w</w:t>
      </w:r>
      <w:proofErr w:type="spellEnd"/>
      <w:r w:rsidR="00716816">
        <w:rPr>
          <w:szCs w:val="24"/>
        </w:rPr>
        <w:t>.  Au contraire, elles vont au-</w:t>
      </w:r>
      <w:r w:rsidR="00715621" w:rsidRPr="000459A8">
        <w:rPr>
          <w:szCs w:val="24"/>
        </w:rPr>
        <w:t xml:space="preserve">delà des règles de </w:t>
      </w:r>
      <w:proofErr w:type="spellStart"/>
      <w:r w:rsidR="00715621" w:rsidRPr="000459A8">
        <w:rPr>
          <w:szCs w:val="24"/>
        </w:rPr>
        <w:t>common</w:t>
      </w:r>
      <w:proofErr w:type="spellEnd"/>
      <w:r w:rsidR="00715621" w:rsidRPr="000459A8">
        <w:rPr>
          <w:szCs w:val="24"/>
        </w:rPr>
        <w:t xml:space="preserve"> </w:t>
      </w:r>
      <w:proofErr w:type="spellStart"/>
      <w:r w:rsidR="00715621" w:rsidRPr="000459A8">
        <w:rPr>
          <w:szCs w:val="24"/>
        </w:rPr>
        <w:t>law</w:t>
      </w:r>
      <w:proofErr w:type="spellEnd"/>
      <w:r w:rsidR="00715621" w:rsidRPr="000459A8">
        <w:rPr>
          <w:szCs w:val="24"/>
        </w:rPr>
        <w:t xml:space="preserve"> et établissent un mode de procédure exprès, assorti de pouvoirs judiciaires explicites.  L</w:t>
      </w:r>
      <w:r w:rsidR="007518BB" w:rsidRPr="000459A8">
        <w:rPr>
          <w:szCs w:val="24"/>
        </w:rPr>
        <w:t>’</w:t>
      </w:r>
      <w:r w:rsidR="00715621" w:rsidRPr="000459A8">
        <w:rPr>
          <w:szCs w:val="24"/>
        </w:rPr>
        <w:t>exception énoncée à l</w:t>
      </w:r>
      <w:r w:rsidR="007518BB" w:rsidRPr="000459A8">
        <w:rPr>
          <w:szCs w:val="24"/>
        </w:rPr>
        <w:t>’</w:t>
      </w:r>
      <w:r w:rsidR="00DE579A" w:rsidRPr="000459A8">
        <w:rPr>
          <w:szCs w:val="24"/>
        </w:rPr>
        <w:t>art. </w:t>
      </w:r>
      <w:r w:rsidR="00715621" w:rsidRPr="000459A8">
        <w:rPr>
          <w:szCs w:val="24"/>
        </w:rPr>
        <w:t xml:space="preserve">127 du </w:t>
      </w:r>
      <w:r w:rsidR="00715621" w:rsidRPr="000459A8">
        <w:rPr>
          <w:i/>
          <w:szCs w:val="24"/>
        </w:rPr>
        <w:t>Code criminel</w:t>
      </w:r>
      <w:r w:rsidR="00715621" w:rsidRPr="000459A8">
        <w:rPr>
          <w:szCs w:val="24"/>
        </w:rPr>
        <w:t xml:space="preserve"> n</w:t>
      </w:r>
      <w:r w:rsidR="007518BB" w:rsidRPr="000459A8">
        <w:rPr>
          <w:szCs w:val="24"/>
        </w:rPr>
        <w:t>’</w:t>
      </w:r>
      <w:r w:rsidR="00715621" w:rsidRPr="000459A8">
        <w:rPr>
          <w:szCs w:val="24"/>
        </w:rPr>
        <w:t>exige rien de plus.</w:t>
      </w:r>
    </w:p>
    <w:p w:rsidR="007E1C47" w:rsidRPr="000459A8" w:rsidRDefault="0043088E" w:rsidP="008112A8">
      <w:pPr>
        <w:pStyle w:val="SCCNormalDoubleSpacing"/>
        <w:keepNext/>
        <w:spacing w:after="480"/>
        <w:rPr>
          <w:b/>
          <w:szCs w:val="24"/>
        </w:rPr>
      </w:pPr>
      <w:r w:rsidRPr="000459A8">
        <w:rPr>
          <w:b/>
          <w:szCs w:val="24"/>
        </w:rPr>
        <w:t>Jurisprudence</w:t>
      </w:r>
    </w:p>
    <w:p w:rsidR="00BE65A6" w:rsidRPr="000459A8" w:rsidRDefault="00BE65A6" w:rsidP="00AF2F5B">
      <w:pPr>
        <w:pStyle w:val="SCCNormalDoubleSpacing"/>
        <w:widowControl w:val="0"/>
        <w:spacing w:after="480"/>
        <w:rPr>
          <w:szCs w:val="24"/>
        </w:rPr>
      </w:pPr>
      <w:r w:rsidRPr="000459A8">
        <w:rPr>
          <w:szCs w:val="24"/>
        </w:rPr>
        <w:t>Citée par la juge Deschamps</w:t>
      </w:r>
    </w:p>
    <w:p w:rsidR="002E6705" w:rsidRPr="000459A8" w:rsidRDefault="002E6705" w:rsidP="00AF2F5B">
      <w:pPr>
        <w:pStyle w:val="SCCNormalDoubleSpacing"/>
        <w:widowControl w:val="0"/>
        <w:spacing w:after="480"/>
        <w:rPr>
          <w:szCs w:val="24"/>
        </w:rPr>
      </w:pPr>
      <w:r w:rsidRPr="000459A8">
        <w:rPr>
          <w:szCs w:val="24"/>
        </w:rPr>
        <w:tab/>
      </w:r>
      <w:r w:rsidR="0043088E" w:rsidRPr="000459A8">
        <w:rPr>
          <w:b/>
          <w:szCs w:val="24"/>
        </w:rPr>
        <w:t>A</w:t>
      </w:r>
      <w:r w:rsidR="000C1878" w:rsidRPr="000459A8">
        <w:rPr>
          <w:b/>
          <w:szCs w:val="24"/>
        </w:rPr>
        <w:t>rrêt appliqué</w:t>
      </w:r>
      <w:r w:rsidR="00DE579A" w:rsidRPr="000459A8">
        <w:rPr>
          <w:b/>
          <w:szCs w:val="24"/>
        </w:rPr>
        <w:t> :</w:t>
      </w:r>
      <w:r w:rsidR="000C1878" w:rsidRPr="000459A8">
        <w:rPr>
          <w:b/>
          <w:szCs w:val="24"/>
        </w:rPr>
        <w:t xml:space="preserve"> </w:t>
      </w:r>
      <w:r w:rsidR="006F2D2B" w:rsidRPr="000459A8">
        <w:rPr>
          <w:i/>
          <w:szCs w:val="24"/>
        </w:rPr>
        <w:t xml:space="preserve">R. c. </w:t>
      </w:r>
      <w:proofErr w:type="spellStart"/>
      <w:r w:rsidR="006F2D2B" w:rsidRPr="000459A8">
        <w:rPr>
          <w:i/>
          <w:szCs w:val="24"/>
        </w:rPr>
        <w:t>Clement</w:t>
      </w:r>
      <w:proofErr w:type="spellEnd"/>
      <w:r w:rsidR="006F2D2B" w:rsidRPr="000459A8">
        <w:rPr>
          <w:szCs w:val="24"/>
        </w:rPr>
        <w:t>, [1981] 2 R.C.S. 468</w:t>
      </w:r>
      <w:r w:rsidR="003B28D2" w:rsidRPr="000459A8">
        <w:rPr>
          <w:szCs w:val="24"/>
        </w:rPr>
        <w:t xml:space="preserve">; </w:t>
      </w:r>
      <w:r w:rsidR="000C1878" w:rsidRPr="000459A8">
        <w:rPr>
          <w:b/>
          <w:szCs w:val="24"/>
        </w:rPr>
        <w:t>arrêts mentionnés</w:t>
      </w:r>
      <w:r w:rsidR="00DE579A" w:rsidRPr="000459A8">
        <w:rPr>
          <w:b/>
          <w:szCs w:val="24"/>
        </w:rPr>
        <w:t> :</w:t>
      </w:r>
      <w:r w:rsidR="000C1878" w:rsidRPr="000459A8">
        <w:rPr>
          <w:b/>
          <w:szCs w:val="24"/>
        </w:rPr>
        <w:t xml:space="preserve"> </w:t>
      </w:r>
      <w:r w:rsidR="003B28D2" w:rsidRPr="000459A8">
        <w:rPr>
          <w:i/>
          <w:szCs w:val="24"/>
        </w:rPr>
        <w:t xml:space="preserve">Ontario (Attorney General) c. </w:t>
      </w:r>
      <w:proofErr w:type="spellStart"/>
      <w:r w:rsidR="003B28D2" w:rsidRPr="000459A8">
        <w:rPr>
          <w:i/>
          <w:szCs w:val="24"/>
        </w:rPr>
        <w:t>Dieleman</w:t>
      </w:r>
      <w:proofErr w:type="spellEnd"/>
      <w:r w:rsidR="003B28D2" w:rsidRPr="000459A8">
        <w:rPr>
          <w:szCs w:val="24"/>
        </w:rPr>
        <w:t xml:space="preserve"> (1994), 20 O.R. (3d) 229</w:t>
      </w:r>
      <w:r w:rsidR="008267C0" w:rsidRPr="000459A8">
        <w:rPr>
          <w:szCs w:val="24"/>
        </w:rPr>
        <w:t xml:space="preserve">; </w:t>
      </w:r>
      <w:r w:rsidR="008267C0" w:rsidRPr="000459A8">
        <w:rPr>
          <w:i/>
          <w:szCs w:val="24"/>
        </w:rPr>
        <w:t>R. c. Traves</w:t>
      </w:r>
      <w:r w:rsidR="008267C0" w:rsidRPr="000459A8">
        <w:rPr>
          <w:szCs w:val="24"/>
        </w:rPr>
        <w:t xml:space="preserve"> (2000), 192 </w:t>
      </w:r>
      <w:proofErr w:type="spellStart"/>
      <w:r w:rsidR="008267C0" w:rsidRPr="000459A8">
        <w:rPr>
          <w:szCs w:val="24"/>
        </w:rPr>
        <w:t>Sask</w:t>
      </w:r>
      <w:proofErr w:type="spellEnd"/>
      <w:r w:rsidR="008267C0" w:rsidRPr="000459A8">
        <w:rPr>
          <w:szCs w:val="24"/>
        </w:rPr>
        <w:t xml:space="preserve">. R. 128; </w:t>
      </w:r>
      <w:r w:rsidR="008267C0" w:rsidRPr="000459A8">
        <w:rPr>
          <w:i/>
          <w:szCs w:val="24"/>
        </w:rPr>
        <w:t>R. c. Dawson</w:t>
      </w:r>
      <w:r w:rsidR="008267C0" w:rsidRPr="000459A8">
        <w:rPr>
          <w:szCs w:val="24"/>
        </w:rPr>
        <w:t xml:space="preserve"> (1995), 143 N.S.R. (2d) 1; </w:t>
      </w:r>
      <w:r w:rsidR="008267C0" w:rsidRPr="000459A8">
        <w:rPr>
          <w:i/>
          <w:szCs w:val="24"/>
        </w:rPr>
        <w:t>R. c. Thompson</w:t>
      </w:r>
      <w:r w:rsidR="008267C0" w:rsidRPr="000459A8">
        <w:rPr>
          <w:szCs w:val="24"/>
        </w:rPr>
        <w:t xml:space="preserve">, [1995] B.C.J. </w:t>
      </w:r>
      <w:r w:rsidR="00DE579A" w:rsidRPr="000459A8">
        <w:rPr>
          <w:szCs w:val="24"/>
        </w:rPr>
        <w:t>No. </w:t>
      </w:r>
      <w:r w:rsidR="008267C0" w:rsidRPr="000459A8">
        <w:rPr>
          <w:szCs w:val="24"/>
        </w:rPr>
        <w:t xml:space="preserve">2819 (QL); </w:t>
      </w:r>
      <w:r w:rsidR="008267C0" w:rsidRPr="000459A8">
        <w:rPr>
          <w:i/>
          <w:szCs w:val="24"/>
        </w:rPr>
        <w:t xml:space="preserve">R. c. </w:t>
      </w:r>
      <w:proofErr w:type="spellStart"/>
      <w:r w:rsidR="008267C0" w:rsidRPr="000459A8">
        <w:rPr>
          <w:i/>
          <w:szCs w:val="24"/>
        </w:rPr>
        <w:t>Creamer</w:t>
      </w:r>
      <w:proofErr w:type="spellEnd"/>
      <w:r w:rsidR="008267C0" w:rsidRPr="000459A8">
        <w:rPr>
          <w:szCs w:val="24"/>
        </w:rPr>
        <w:t xml:space="preserve">, 2001 ABPC 184, 297 A.R. 151; </w:t>
      </w:r>
      <w:r w:rsidR="008267C0" w:rsidRPr="000459A8">
        <w:rPr>
          <w:i/>
          <w:szCs w:val="24"/>
        </w:rPr>
        <w:t xml:space="preserve">R. c. </w:t>
      </w:r>
      <w:proofErr w:type="spellStart"/>
      <w:r w:rsidR="008267C0" w:rsidRPr="000459A8">
        <w:rPr>
          <w:i/>
          <w:szCs w:val="24"/>
        </w:rPr>
        <w:t>MacLean</w:t>
      </w:r>
      <w:proofErr w:type="spellEnd"/>
      <w:r w:rsidR="008267C0" w:rsidRPr="000459A8">
        <w:rPr>
          <w:szCs w:val="24"/>
        </w:rPr>
        <w:t xml:space="preserve">, 2002 NSSC 283, 210 N.S.R. (2d) 150; </w:t>
      </w:r>
      <w:r w:rsidR="008267C0" w:rsidRPr="000459A8">
        <w:rPr>
          <w:i/>
          <w:szCs w:val="24"/>
        </w:rPr>
        <w:t xml:space="preserve">R. c. </w:t>
      </w:r>
      <w:proofErr w:type="spellStart"/>
      <w:r w:rsidR="008267C0" w:rsidRPr="000459A8">
        <w:rPr>
          <w:i/>
          <w:szCs w:val="24"/>
        </w:rPr>
        <w:t>Mulhall</w:t>
      </w:r>
      <w:proofErr w:type="spellEnd"/>
      <w:r w:rsidR="008267C0" w:rsidRPr="000459A8">
        <w:rPr>
          <w:szCs w:val="24"/>
        </w:rPr>
        <w:t xml:space="preserve">, [2001] O.J. </w:t>
      </w:r>
      <w:r w:rsidR="00DE579A" w:rsidRPr="000459A8">
        <w:rPr>
          <w:szCs w:val="24"/>
        </w:rPr>
        <w:lastRenderedPageBreak/>
        <w:t>No. </w:t>
      </w:r>
      <w:r w:rsidR="008267C0" w:rsidRPr="000459A8">
        <w:rPr>
          <w:szCs w:val="24"/>
        </w:rPr>
        <w:t>5237 (QL)</w:t>
      </w:r>
      <w:r w:rsidR="00B450CB" w:rsidRPr="000459A8">
        <w:rPr>
          <w:szCs w:val="24"/>
        </w:rPr>
        <w:t xml:space="preserve">; </w:t>
      </w:r>
      <w:r w:rsidR="00B450CB" w:rsidRPr="000459A8">
        <w:rPr>
          <w:i/>
          <w:szCs w:val="24"/>
        </w:rPr>
        <w:t xml:space="preserve">R. c. </w:t>
      </w:r>
      <w:proofErr w:type="spellStart"/>
      <w:r w:rsidR="00B450CB" w:rsidRPr="000459A8">
        <w:rPr>
          <w:i/>
          <w:szCs w:val="24"/>
        </w:rPr>
        <w:t>Hinse</w:t>
      </w:r>
      <w:proofErr w:type="spellEnd"/>
      <w:r w:rsidR="00B450CB" w:rsidRPr="000459A8">
        <w:rPr>
          <w:szCs w:val="24"/>
        </w:rPr>
        <w:t>, [1995] 4 R.C.S. 597</w:t>
      </w:r>
      <w:r w:rsidR="00C66DAB" w:rsidRPr="000459A8">
        <w:rPr>
          <w:szCs w:val="24"/>
        </w:rPr>
        <w:t xml:space="preserve">; </w:t>
      </w:r>
      <w:r w:rsidR="00C66DAB" w:rsidRPr="000459A8">
        <w:rPr>
          <w:i/>
          <w:szCs w:val="24"/>
        </w:rPr>
        <w:t xml:space="preserve">R. c. </w:t>
      </w:r>
      <w:proofErr w:type="spellStart"/>
      <w:r w:rsidR="00C66DAB" w:rsidRPr="000459A8">
        <w:rPr>
          <w:i/>
          <w:szCs w:val="24"/>
        </w:rPr>
        <w:t>Gaudreault</w:t>
      </w:r>
      <w:proofErr w:type="spellEnd"/>
      <w:r w:rsidR="00C66DAB" w:rsidRPr="000459A8">
        <w:rPr>
          <w:szCs w:val="24"/>
        </w:rPr>
        <w:t xml:space="preserve"> (1995), 105 C.C.C. (3d) 270</w:t>
      </w:r>
      <w:r w:rsidR="006F2D2B" w:rsidRPr="000459A8">
        <w:rPr>
          <w:szCs w:val="24"/>
        </w:rPr>
        <w:t>.</w:t>
      </w:r>
    </w:p>
    <w:p w:rsidR="00BE65A6" w:rsidRPr="000459A8" w:rsidRDefault="00BE65A6" w:rsidP="00BE65A6">
      <w:pPr>
        <w:pStyle w:val="SCCNormalDoubleSpacing"/>
        <w:widowControl w:val="0"/>
        <w:spacing w:after="480"/>
        <w:rPr>
          <w:szCs w:val="24"/>
        </w:rPr>
      </w:pPr>
      <w:r w:rsidRPr="000459A8">
        <w:rPr>
          <w:szCs w:val="24"/>
        </w:rPr>
        <w:t>Citée par le juge Fish</w:t>
      </w:r>
      <w:r w:rsidR="005B0BFF" w:rsidRPr="000459A8">
        <w:rPr>
          <w:szCs w:val="24"/>
        </w:rPr>
        <w:t xml:space="preserve"> (dissident)</w:t>
      </w:r>
    </w:p>
    <w:p w:rsidR="00BE65A6" w:rsidRPr="000459A8" w:rsidRDefault="00BE65A6" w:rsidP="00BE65A6">
      <w:pPr>
        <w:pStyle w:val="SCCNormalDoubleSpacing"/>
        <w:widowControl w:val="0"/>
        <w:spacing w:after="480"/>
        <w:rPr>
          <w:b/>
          <w:szCs w:val="24"/>
        </w:rPr>
      </w:pPr>
      <w:r w:rsidRPr="000459A8">
        <w:rPr>
          <w:szCs w:val="24"/>
        </w:rPr>
        <w:tab/>
      </w:r>
      <w:r w:rsidRPr="000459A8">
        <w:rPr>
          <w:i/>
          <w:szCs w:val="24"/>
        </w:rPr>
        <w:t xml:space="preserve">R. c. </w:t>
      </w:r>
      <w:proofErr w:type="spellStart"/>
      <w:r w:rsidRPr="000459A8">
        <w:rPr>
          <w:i/>
          <w:szCs w:val="24"/>
        </w:rPr>
        <w:t>Clement</w:t>
      </w:r>
      <w:proofErr w:type="spellEnd"/>
      <w:r w:rsidRPr="000459A8">
        <w:rPr>
          <w:szCs w:val="24"/>
        </w:rPr>
        <w:t>, [1981] 2 R.C.S. 468.</w:t>
      </w:r>
    </w:p>
    <w:p w:rsidR="00231F3A" w:rsidRPr="000459A8" w:rsidRDefault="0043088E" w:rsidP="00AF2F5B">
      <w:pPr>
        <w:pStyle w:val="SCCNormalDoubleSpacing"/>
        <w:keepNext/>
        <w:spacing w:after="480"/>
        <w:rPr>
          <w:b/>
          <w:szCs w:val="24"/>
        </w:rPr>
      </w:pPr>
      <w:r w:rsidRPr="000459A8">
        <w:rPr>
          <w:b/>
          <w:szCs w:val="24"/>
        </w:rPr>
        <w:t>Lois</w:t>
      </w:r>
      <w:r w:rsidR="002E6705" w:rsidRPr="000459A8">
        <w:rPr>
          <w:b/>
          <w:szCs w:val="24"/>
        </w:rPr>
        <w:t xml:space="preserve"> </w:t>
      </w:r>
      <w:r w:rsidR="008A6558" w:rsidRPr="000459A8">
        <w:rPr>
          <w:b/>
          <w:szCs w:val="24"/>
        </w:rPr>
        <w:t>et</w:t>
      </w:r>
      <w:r w:rsidR="002E6705" w:rsidRPr="000459A8">
        <w:rPr>
          <w:b/>
          <w:szCs w:val="24"/>
        </w:rPr>
        <w:t xml:space="preserve"> </w:t>
      </w:r>
      <w:r w:rsidRPr="000459A8">
        <w:rPr>
          <w:b/>
          <w:szCs w:val="24"/>
        </w:rPr>
        <w:t>rè</w:t>
      </w:r>
      <w:r w:rsidR="002E6705" w:rsidRPr="000459A8">
        <w:rPr>
          <w:b/>
          <w:szCs w:val="24"/>
        </w:rPr>
        <w:t>gl</w:t>
      </w:r>
      <w:r w:rsidRPr="000459A8">
        <w:rPr>
          <w:b/>
          <w:szCs w:val="24"/>
        </w:rPr>
        <w:t>ements</w:t>
      </w:r>
      <w:r w:rsidR="002E6705" w:rsidRPr="000459A8">
        <w:rPr>
          <w:b/>
          <w:szCs w:val="24"/>
        </w:rPr>
        <w:t xml:space="preserve"> </w:t>
      </w:r>
      <w:r w:rsidRPr="000459A8">
        <w:rPr>
          <w:b/>
          <w:szCs w:val="24"/>
        </w:rPr>
        <w:t>c</w:t>
      </w:r>
      <w:r w:rsidR="002E6705" w:rsidRPr="000459A8">
        <w:rPr>
          <w:b/>
          <w:szCs w:val="24"/>
        </w:rPr>
        <w:t>it</w:t>
      </w:r>
      <w:r w:rsidRPr="000459A8">
        <w:rPr>
          <w:b/>
          <w:szCs w:val="24"/>
        </w:rPr>
        <w:t>és</w:t>
      </w:r>
    </w:p>
    <w:p w:rsidR="00FF583A" w:rsidRPr="000459A8" w:rsidRDefault="00FF583A" w:rsidP="00AF2F5B">
      <w:pPr>
        <w:pStyle w:val="SCCNormalDoubleSpacing"/>
        <w:spacing w:after="240" w:line="240" w:lineRule="auto"/>
        <w:ind w:left="539" w:hanging="539"/>
        <w:rPr>
          <w:szCs w:val="24"/>
          <w:lang w:val="en-US"/>
        </w:rPr>
      </w:pPr>
      <w:r w:rsidRPr="000459A8">
        <w:rPr>
          <w:i/>
          <w:szCs w:val="24"/>
        </w:rPr>
        <w:t>Code criminel</w:t>
      </w:r>
      <w:r w:rsidRPr="000459A8">
        <w:rPr>
          <w:szCs w:val="24"/>
        </w:rPr>
        <w:t xml:space="preserve">, L.R.C. 1985, </w:t>
      </w:r>
      <w:r w:rsidR="00DE579A" w:rsidRPr="000459A8">
        <w:rPr>
          <w:szCs w:val="24"/>
        </w:rPr>
        <w:t>ch. </w:t>
      </w:r>
      <w:r w:rsidRPr="000459A8">
        <w:rPr>
          <w:szCs w:val="24"/>
          <w:lang w:val="en-US"/>
        </w:rPr>
        <w:t>C</w:t>
      </w:r>
      <w:r w:rsidR="00DE579A" w:rsidRPr="000459A8">
        <w:rPr>
          <w:szCs w:val="24"/>
          <w:lang w:val="en-US"/>
        </w:rPr>
        <w:noBreakHyphen/>
      </w:r>
      <w:r w:rsidRPr="000459A8">
        <w:rPr>
          <w:szCs w:val="24"/>
          <w:lang w:val="en-US"/>
        </w:rPr>
        <w:t xml:space="preserve">46, </w:t>
      </w:r>
      <w:r w:rsidR="00DE579A" w:rsidRPr="000459A8">
        <w:rPr>
          <w:szCs w:val="24"/>
          <w:lang w:val="en-US"/>
        </w:rPr>
        <w:t>art. </w:t>
      </w:r>
      <w:proofErr w:type="gramStart"/>
      <w:r w:rsidRPr="000459A8">
        <w:rPr>
          <w:szCs w:val="24"/>
          <w:lang w:val="en-US"/>
        </w:rPr>
        <w:t>127</w:t>
      </w:r>
      <w:r w:rsidR="00D248AF" w:rsidRPr="000459A8">
        <w:rPr>
          <w:szCs w:val="24"/>
          <w:lang w:val="en-US"/>
        </w:rPr>
        <w:t>, 545</w:t>
      </w:r>
      <w:r w:rsidR="00B450CB" w:rsidRPr="000459A8">
        <w:rPr>
          <w:szCs w:val="24"/>
          <w:lang w:val="en-US"/>
        </w:rPr>
        <w:t>, 686</w:t>
      </w:r>
      <w:r w:rsidRPr="000459A8">
        <w:rPr>
          <w:szCs w:val="24"/>
          <w:lang w:val="en-US"/>
        </w:rPr>
        <w:t>.</w:t>
      </w:r>
      <w:proofErr w:type="gramEnd"/>
    </w:p>
    <w:p w:rsidR="00253722" w:rsidRPr="000459A8" w:rsidRDefault="00253722" w:rsidP="00253722">
      <w:pPr>
        <w:pStyle w:val="SCCNormalDoubleSpacing"/>
        <w:spacing w:after="240" w:line="240" w:lineRule="auto"/>
        <w:ind w:left="539" w:hanging="539"/>
        <w:rPr>
          <w:szCs w:val="24"/>
          <w:lang w:val="en-US"/>
        </w:rPr>
      </w:pPr>
      <w:r w:rsidRPr="000459A8">
        <w:rPr>
          <w:i/>
          <w:szCs w:val="24"/>
          <w:lang w:val="en-US"/>
        </w:rPr>
        <w:t xml:space="preserve">Code </w:t>
      </w:r>
      <w:proofErr w:type="spellStart"/>
      <w:r w:rsidRPr="000459A8">
        <w:rPr>
          <w:i/>
          <w:szCs w:val="24"/>
          <w:lang w:val="en-US"/>
        </w:rPr>
        <w:t>criminel</w:t>
      </w:r>
      <w:proofErr w:type="spellEnd"/>
      <w:r w:rsidRPr="000459A8">
        <w:rPr>
          <w:i/>
          <w:szCs w:val="24"/>
          <w:lang w:val="en-US"/>
        </w:rPr>
        <w:t>, 1892</w:t>
      </w:r>
      <w:r w:rsidRPr="000459A8">
        <w:rPr>
          <w:szCs w:val="24"/>
          <w:lang w:val="en-US"/>
        </w:rPr>
        <w:t xml:space="preserve">, S.C. 1892, </w:t>
      </w:r>
      <w:proofErr w:type="spellStart"/>
      <w:r w:rsidRPr="000459A8">
        <w:rPr>
          <w:szCs w:val="24"/>
          <w:lang w:val="en-US"/>
        </w:rPr>
        <w:t>ch</w:t>
      </w:r>
      <w:proofErr w:type="spellEnd"/>
      <w:r w:rsidRPr="000459A8">
        <w:rPr>
          <w:szCs w:val="24"/>
          <w:lang w:val="en-US"/>
        </w:rPr>
        <w:t>. 29, art. 139.</w:t>
      </w:r>
    </w:p>
    <w:p w:rsidR="00B450CB" w:rsidRPr="000459A8" w:rsidRDefault="00B450CB" w:rsidP="00AF2F5B">
      <w:pPr>
        <w:pStyle w:val="SCCNormalDoubleSpacing"/>
        <w:spacing w:after="240" w:line="240" w:lineRule="auto"/>
        <w:ind w:left="539" w:hanging="539"/>
        <w:rPr>
          <w:szCs w:val="24"/>
        </w:rPr>
      </w:pPr>
      <w:r w:rsidRPr="000459A8">
        <w:rPr>
          <w:i/>
          <w:szCs w:val="24"/>
        </w:rPr>
        <w:t>Code de procédure civile</w:t>
      </w:r>
      <w:r w:rsidRPr="000459A8">
        <w:rPr>
          <w:szCs w:val="24"/>
        </w:rPr>
        <w:t xml:space="preserve">, L.R.Q., </w:t>
      </w:r>
      <w:r w:rsidR="00DE579A" w:rsidRPr="000459A8">
        <w:rPr>
          <w:szCs w:val="24"/>
        </w:rPr>
        <w:t>ch. </w:t>
      </w:r>
      <w:r w:rsidRPr="000459A8">
        <w:rPr>
          <w:szCs w:val="24"/>
        </w:rPr>
        <w:t>C</w:t>
      </w:r>
      <w:r w:rsidR="00DE579A" w:rsidRPr="000459A8">
        <w:rPr>
          <w:szCs w:val="24"/>
        </w:rPr>
        <w:noBreakHyphen/>
      </w:r>
      <w:r w:rsidRPr="000459A8">
        <w:rPr>
          <w:szCs w:val="24"/>
        </w:rPr>
        <w:t xml:space="preserve">25, </w:t>
      </w:r>
      <w:r w:rsidR="00DE579A" w:rsidRPr="000459A8">
        <w:rPr>
          <w:szCs w:val="24"/>
        </w:rPr>
        <w:t>art. </w:t>
      </w:r>
      <w:r w:rsidRPr="000459A8">
        <w:rPr>
          <w:szCs w:val="24"/>
        </w:rPr>
        <w:t>49.</w:t>
      </w:r>
    </w:p>
    <w:p w:rsidR="003A4FE5" w:rsidRPr="000459A8" w:rsidRDefault="00253722" w:rsidP="00AF2F5B">
      <w:pPr>
        <w:pStyle w:val="SCCNormalDoubleSpacing"/>
        <w:spacing w:after="240" w:line="240" w:lineRule="auto"/>
        <w:ind w:left="539" w:hanging="539"/>
        <w:rPr>
          <w:szCs w:val="24"/>
        </w:rPr>
      </w:pPr>
      <w:r w:rsidRPr="000459A8">
        <w:rPr>
          <w:i/>
          <w:szCs w:val="24"/>
        </w:rPr>
        <w:t>Loi constitutionnelle de 18</w:t>
      </w:r>
      <w:r w:rsidR="003A4FE5" w:rsidRPr="000459A8">
        <w:rPr>
          <w:i/>
          <w:szCs w:val="24"/>
        </w:rPr>
        <w:t>67</w:t>
      </w:r>
      <w:r w:rsidR="003A4FE5" w:rsidRPr="000459A8">
        <w:rPr>
          <w:szCs w:val="24"/>
        </w:rPr>
        <w:t xml:space="preserve">, </w:t>
      </w:r>
      <w:r w:rsidR="00DE579A" w:rsidRPr="000459A8">
        <w:rPr>
          <w:szCs w:val="24"/>
        </w:rPr>
        <w:t>art. </w:t>
      </w:r>
      <w:r w:rsidR="003A4FE5" w:rsidRPr="000459A8">
        <w:rPr>
          <w:szCs w:val="24"/>
        </w:rPr>
        <w:t>96.</w:t>
      </w:r>
    </w:p>
    <w:p w:rsidR="00D732BA" w:rsidRPr="000459A8" w:rsidRDefault="00D732BA" w:rsidP="00D732BA">
      <w:pPr>
        <w:pStyle w:val="SCCNormalDoubleSpacing"/>
        <w:spacing w:after="240" w:line="240" w:lineRule="auto"/>
        <w:ind w:left="539" w:hanging="539"/>
        <w:rPr>
          <w:szCs w:val="24"/>
        </w:rPr>
      </w:pPr>
      <w:r w:rsidRPr="000459A8">
        <w:rPr>
          <w:i/>
          <w:szCs w:val="24"/>
        </w:rPr>
        <w:t>Loi sur les tribunaux judiciaires</w:t>
      </w:r>
      <w:r w:rsidRPr="000459A8">
        <w:rPr>
          <w:szCs w:val="24"/>
        </w:rPr>
        <w:t xml:space="preserve">, L.R.O. 1990, </w:t>
      </w:r>
      <w:r w:rsidR="00DE579A" w:rsidRPr="000459A8">
        <w:rPr>
          <w:szCs w:val="24"/>
        </w:rPr>
        <w:t>ch. </w:t>
      </w:r>
      <w:r w:rsidR="00253722" w:rsidRPr="000459A8">
        <w:rPr>
          <w:szCs w:val="24"/>
        </w:rPr>
        <w:t>C.</w:t>
      </w:r>
      <w:r w:rsidRPr="000459A8">
        <w:rPr>
          <w:szCs w:val="24"/>
        </w:rPr>
        <w:t>43.</w:t>
      </w:r>
    </w:p>
    <w:p w:rsidR="00F61EDF" w:rsidRPr="000459A8" w:rsidRDefault="00F61EDF" w:rsidP="00AF2F5B">
      <w:pPr>
        <w:pStyle w:val="SCCNormalDoubleSpacing"/>
        <w:spacing w:after="720" w:line="240" w:lineRule="auto"/>
        <w:ind w:left="540" w:hanging="540"/>
        <w:rPr>
          <w:szCs w:val="24"/>
        </w:rPr>
      </w:pPr>
      <w:r w:rsidRPr="000459A8">
        <w:rPr>
          <w:i/>
          <w:szCs w:val="24"/>
        </w:rPr>
        <w:t>Règles de procédure civile</w:t>
      </w:r>
      <w:r w:rsidRPr="000459A8">
        <w:rPr>
          <w:szCs w:val="24"/>
        </w:rPr>
        <w:t xml:space="preserve">, R.R.O. 1990, </w:t>
      </w:r>
      <w:proofErr w:type="spellStart"/>
      <w:r w:rsidRPr="000459A8">
        <w:rPr>
          <w:szCs w:val="24"/>
        </w:rPr>
        <w:t>Règl</w:t>
      </w:r>
      <w:proofErr w:type="spellEnd"/>
      <w:r w:rsidRPr="000459A8">
        <w:rPr>
          <w:szCs w:val="24"/>
        </w:rPr>
        <w:t>. 194, règles 60.11, 60.12.</w:t>
      </w:r>
    </w:p>
    <w:p w:rsidR="002E6705" w:rsidRPr="000459A8" w:rsidRDefault="0043088E" w:rsidP="00AF2F5B">
      <w:pPr>
        <w:pStyle w:val="SCCNormalDoubleSpacing"/>
        <w:keepNext/>
        <w:spacing w:after="480"/>
        <w:rPr>
          <w:b/>
          <w:szCs w:val="24"/>
        </w:rPr>
      </w:pPr>
      <w:r w:rsidRPr="000459A8">
        <w:rPr>
          <w:b/>
          <w:szCs w:val="24"/>
        </w:rPr>
        <w:t>Doctrine</w:t>
      </w:r>
      <w:r w:rsidR="002E6705" w:rsidRPr="000459A8">
        <w:rPr>
          <w:b/>
          <w:szCs w:val="24"/>
        </w:rPr>
        <w:t xml:space="preserve"> </w:t>
      </w:r>
      <w:r w:rsidR="00EB3B17" w:rsidRPr="000459A8">
        <w:rPr>
          <w:b/>
          <w:szCs w:val="24"/>
        </w:rPr>
        <w:t xml:space="preserve">et autres documents </w:t>
      </w:r>
      <w:r w:rsidRPr="000459A8">
        <w:rPr>
          <w:b/>
          <w:szCs w:val="24"/>
        </w:rPr>
        <w:t>c</w:t>
      </w:r>
      <w:r w:rsidR="002E6705" w:rsidRPr="000459A8">
        <w:rPr>
          <w:b/>
          <w:szCs w:val="24"/>
        </w:rPr>
        <w:t>it</w:t>
      </w:r>
      <w:r w:rsidRPr="000459A8">
        <w:rPr>
          <w:b/>
          <w:szCs w:val="24"/>
        </w:rPr>
        <w:t>é</w:t>
      </w:r>
      <w:r w:rsidR="00EB3B17" w:rsidRPr="000459A8">
        <w:rPr>
          <w:b/>
          <w:szCs w:val="24"/>
        </w:rPr>
        <w:t>s</w:t>
      </w:r>
    </w:p>
    <w:p w:rsidR="00FD13AA" w:rsidRPr="000459A8" w:rsidRDefault="00FD13AA" w:rsidP="00AF2F5B">
      <w:pPr>
        <w:pStyle w:val="SCCNormalDoubleSpacing"/>
        <w:spacing w:after="720" w:line="240" w:lineRule="auto"/>
        <w:ind w:left="540" w:hanging="540"/>
        <w:rPr>
          <w:szCs w:val="24"/>
        </w:rPr>
      </w:pPr>
      <w:proofErr w:type="spellStart"/>
      <w:r w:rsidRPr="000459A8">
        <w:rPr>
          <w:szCs w:val="24"/>
        </w:rPr>
        <w:t>Grande</w:t>
      </w:r>
      <w:r w:rsidR="00DE579A" w:rsidRPr="000459A8">
        <w:rPr>
          <w:szCs w:val="24"/>
        </w:rPr>
        <w:noBreakHyphen/>
      </w:r>
      <w:r w:rsidRPr="000459A8">
        <w:rPr>
          <w:szCs w:val="24"/>
        </w:rPr>
        <w:t>Bretagne</w:t>
      </w:r>
      <w:proofErr w:type="spellEnd"/>
      <w:r w:rsidRPr="000459A8">
        <w:rPr>
          <w:szCs w:val="24"/>
        </w:rPr>
        <w:t xml:space="preserve">.  </w:t>
      </w:r>
      <w:proofErr w:type="spellStart"/>
      <w:r w:rsidRPr="00D93202">
        <w:rPr>
          <w:szCs w:val="24"/>
        </w:rPr>
        <w:t>Criminal</w:t>
      </w:r>
      <w:proofErr w:type="spellEnd"/>
      <w:r w:rsidRPr="00D93202">
        <w:rPr>
          <w:szCs w:val="24"/>
        </w:rPr>
        <w:t xml:space="preserve"> Code Bill Commission.  </w:t>
      </w:r>
      <w:r w:rsidRPr="000459A8">
        <w:rPr>
          <w:i/>
          <w:szCs w:val="24"/>
          <w:lang w:val="en-US"/>
        </w:rPr>
        <w:t>Report of the Royal Commission Appointed to Consider the Law Relating to Indictable Offences</w:t>
      </w:r>
      <w:r w:rsidR="00253722" w:rsidRPr="000459A8">
        <w:rPr>
          <w:i/>
          <w:szCs w:val="24"/>
          <w:lang w:val="en-US"/>
        </w:rPr>
        <w:t xml:space="preserve"> : </w:t>
      </w:r>
      <w:r w:rsidRPr="000459A8">
        <w:rPr>
          <w:i/>
          <w:szCs w:val="24"/>
          <w:lang w:val="en-US"/>
        </w:rPr>
        <w:t>With an Appendix Containing a Draft Code embodying the Suggestions of the Commissioners</w:t>
      </w:r>
      <w:r w:rsidRPr="000459A8">
        <w:rPr>
          <w:szCs w:val="24"/>
          <w:lang w:val="en-US"/>
        </w:rPr>
        <w:t xml:space="preserve">.  </w:t>
      </w:r>
      <w:r w:rsidRPr="000459A8">
        <w:rPr>
          <w:szCs w:val="24"/>
        </w:rPr>
        <w:t>London</w:t>
      </w:r>
      <w:r w:rsidR="00DE579A" w:rsidRPr="000459A8">
        <w:rPr>
          <w:szCs w:val="24"/>
        </w:rPr>
        <w:t> :</w:t>
      </w:r>
      <w:r w:rsidRPr="000459A8">
        <w:rPr>
          <w:szCs w:val="24"/>
        </w:rPr>
        <w:t xml:space="preserve"> The Commission, 1879.</w:t>
      </w:r>
    </w:p>
    <w:p w:rsidR="001C3F16" w:rsidRPr="000459A8" w:rsidRDefault="009B57B3" w:rsidP="00AF2F5B">
      <w:pPr>
        <w:pStyle w:val="SCCNormalDoubleSpacing"/>
        <w:spacing w:after="480"/>
        <w:rPr>
          <w:szCs w:val="24"/>
        </w:rPr>
      </w:pPr>
      <w:r w:rsidRPr="000459A8">
        <w:rPr>
          <w:szCs w:val="24"/>
        </w:rPr>
        <w:tab/>
        <w:t>P</w:t>
      </w:r>
      <w:r w:rsidR="0043088E" w:rsidRPr="000459A8">
        <w:rPr>
          <w:szCs w:val="24"/>
        </w:rPr>
        <w:t>OURVOI contre un arrêt de la</w:t>
      </w:r>
      <w:r w:rsidRPr="000459A8">
        <w:rPr>
          <w:szCs w:val="24"/>
        </w:rPr>
        <w:t xml:space="preserve"> Cour d</w:t>
      </w:r>
      <w:r w:rsidR="007518BB" w:rsidRPr="000459A8">
        <w:rPr>
          <w:szCs w:val="24"/>
        </w:rPr>
        <w:t>’</w:t>
      </w:r>
      <w:r w:rsidRPr="000459A8">
        <w:rPr>
          <w:szCs w:val="24"/>
        </w:rPr>
        <w:t>appel de l</w:t>
      </w:r>
      <w:r w:rsidR="007518BB" w:rsidRPr="000459A8">
        <w:rPr>
          <w:szCs w:val="24"/>
        </w:rPr>
        <w:t>’</w:t>
      </w:r>
      <w:r w:rsidRPr="000459A8">
        <w:rPr>
          <w:szCs w:val="24"/>
        </w:rPr>
        <w:t>Ontario</w:t>
      </w:r>
      <w:r w:rsidR="001C3F16" w:rsidRPr="000459A8">
        <w:rPr>
          <w:szCs w:val="24"/>
        </w:rPr>
        <w:t xml:space="preserve"> (les juges </w:t>
      </w:r>
      <w:proofErr w:type="spellStart"/>
      <w:r w:rsidR="001C3F16" w:rsidRPr="000459A8">
        <w:rPr>
          <w:szCs w:val="24"/>
        </w:rPr>
        <w:t>Goudge</w:t>
      </w:r>
      <w:proofErr w:type="spellEnd"/>
      <w:r w:rsidR="001C3F16" w:rsidRPr="000459A8">
        <w:rPr>
          <w:szCs w:val="24"/>
        </w:rPr>
        <w:t xml:space="preserve">, </w:t>
      </w:r>
      <w:proofErr w:type="spellStart"/>
      <w:r w:rsidR="001C3F16" w:rsidRPr="000459A8">
        <w:rPr>
          <w:szCs w:val="24"/>
        </w:rPr>
        <w:t>Feldman</w:t>
      </w:r>
      <w:proofErr w:type="spellEnd"/>
      <w:r w:rsidR="001C3F16" w:rsidRPr="000459A8">
        <w:rPr>
          <w:szCs w:val="24"/>
        </w:rPr>
        <w:t xml:space="preserve"> et Watt), 2010 ONCA 77, 100 O.R. (3d) 248, 258 O.A.C. 182, 251 </w:t>
      </w:r>
      <w:r w:rsidR="001C3F16" w:rsidRPr="000459A8">
        <w:rPr>
          <w:szCs w:val="24"/>
        </w:rPr>
        <w:lastRenderedPageBreak/>
        <w:t xml:space="preserve">C.C.C. (3d) 460, 73 C.R. (6th) 23, [2010] O.J. </w:t>
      </w:r>
      <w:r w:rsidR="00DE579A" w:rsidRPr="000459A8">
        <w:rPr>
          <w:szCs w:val="24"/>
        </w:rPr>
        <w:t>No. </w:t>
      </w:r>
      <w:r w:rsidR="001C3F16" w:rsidRPr="000459A8">
        <w:rPr>
          <w:szCs w:val="24"/>
        </w:rPr>
        <w:t xml:space="preserve">342 (QL), 2010 </w:t>
      </w:r>
      <w:proofErr w:type="spellStart"/>
      <w:r w:rsidR="001C3F16" w:rsidRPr="000459A8">
        <w:rPr>
          <w:szCs w:val="24"/>
        </w:rPr>
        <w:t>CarswellOnt</w:t>
      </w:r>
      <w:proofErr w:type="spellEnd"/>
      <w:r w:rsidR="001C3F16" w:rsidRPr="000459A8">
        <w:rPr>
          <w:szCs w:val="24"/>
        </w:rPr>
        <w:t xml:space="preserve"> 476, qui a confirmé une décision de la juge Frank, 2009 </w:t>
      </w:r>
      <w:proofErr w:type="spellStart"/>
      <w:r w:rsidR="001C3F16" w:rsidRPr="000459A8">
        <w:rPr>
          <w:szCs w:val="24"/>
        </w:rPr>
        <w:t>CanLII</w:t>
      </w:r>
      <w:proofErr w:type="spellEnd"/>
      <w:r w:rsidR="001C3F16" w:rsidRPr="000459A8">
        <w:rPr>
          <w:szCs w:val="24"/>
        </w:rPr>
        <w:t xml:space="preserve"> 31598, [2009] O.J. </w:t>
      </w:r>
      <w:r w:rsidR="00DE579A" w:rsidRPr="000459A8">
        <w:rPr>
          <w:szCs w:val="24"/>
        </w:rPr>
        <w:t>No. </w:t>
      </w:r>
      <w:r w:rsidR="001C3F16" w:rsidRPr="000459A8">
        <w:rPr>
          <w:szCs w:val="24"/>
        </w:rPr>
        <w:t xml:space="preserve">2559 (QL), 2009 </w:t>
      </w:r>
      <w:proofErr w:type="spellStart"/>
      <w:r w:rsidR="001C3F16" w:rsidRPr="000459A8">
        <w:rPr>
          <w:szCs w:val="24"/>
        </w:rPr>
        <w:t>CarswellOnt</w:t>
      </w:r>
      <w:proofErr w:type="spellEnd"/>
      <w:r w:rsidR="001C3F16" w:rsidRPr="000459A8">
        <w:rPr>
          <w:szCs w:val="24"/>
        </w:rPr>
        <w:t xml:space="preserve"> 3525</w:t>
      </w:r>
      <w:r w:rsidR="00253722" w:rsidRPr="000459A8">
        <w:rPr>
          <w:szCs w:val="24"/>
        </w:rPr>
        <w:t>, écartant l’annulation par le juge Moore d’une dénonciation</w:t>
      </w:r>
      <w:r w:rsidR="001C3F16" w:rsidRPr="000459A8">
        <w:rPr>
          <w:szCs w:val="24"/>
        </w:rPr>
        <w:t>.  Pourvoi rejeté</w:t>
      </w:r>
      <w:r w:rsidR="00BE65A6" w:rsidRPr="000459A8">
        <w:rPr>
          <w:szCs w:val="24"/>
        </w:rPr>
        <w:t>, le juge Fish est dissident</w:t>
      </w:r>
      <w:r w:rsidR="001C3F16" w:rsidRPr="000459A8">
        <w:rPr>
          <w:szCs w:val="24"/>
        </w:rPr>
        <w:t>.</w:t>
      </w:r>
    </w:p>
    <w:p w:rsidR="00904B52" w:rsidRPr="000459A8" w:rsidRDefault="00A72AD0" w:rsidP="00AF2F5B">
      <w:pPr>
        <w:pStyle w:val="SCCNormalDoubleSpacing"/>
        <w:spacing w:after="480"/>
        <w:rPr>
          <w:szCs w:val="24"/>
        </w:rPr>
      </w:pPr>
      <w:r w:rsidRPr="000459A8">
        <w:rPr>
          <w:i/>
          <w:szCs w:val="24"/>
        </w:rPr>
        <w:tab/>
      </w:r>
      <w:r w:rsidR="00AF2F5B" w:rsidRPr="000459A8">
        <w:rPr>
          <w:i/>
          <w:szCs w:val="24"/>
        </w:rPr>
        <w:t>Daniel </w:t>
      </w:r>
      <w:r w:rsidR="00F53419" w:rsidRPr="000459A8">
        <w:rPr>
          <w:i/>
          <w:szCs w:val="24"/>
        </w:rPr>
        <w:t xml:space="preserve">C. </w:t>
      </w:r>
      <w:proofErr w:type="spellStart"/>
      <w:r w:rsidR="00F53419" w:rsidRPr="000459A8">
        <w:rPr>
          <w:i/>
          <w:szCs w:val="24"/>
        </w:rPr>
        <w:t>Santoro</w:t>
      </w:r>
      <w:proofErr w:type="spellEnd"/>
      <w:r w:rsidR="00F53419" w:rsidRPr="000459A8">
        <w:rPr>
          <w:szCs w:val="24"/>
        </w:rPr>
        <w:t xml:space="preserve"> et</w:t>
      </w:r>
      <w:r w:rsidR="00F53419" w:rsidRPr="000459A8">
        <w:rPr>
          <w:i/>
          <w:szCs w:val="24"/>
        </w:rPr>
        <w:t xml:space="preserve"> </w:t>
      </w:r>
      <w:r w:rsidR="00AF2F5B" w:rsidRPr="000459A8">
        <w:rPr>
          <w:i/>
          <w:szCs w:val="24"/>
        </w:rPr>
        <w:t>Nicolas </w:t>
      </w:r>
      <w:r w:rsidRPr="000459A8">
        <w:rPr>
          <w:i/>
          <w:szCs w:val="24"/>
        </w:rPr>
        <w:t>M. Rouleau</w:t>
      </w:r>
      <w:r w:rsidR="00A45737" w:rsidRPr="000459A8">
        <w:rPr>
          <w:szCs w:val="24"/>
        </w:rPr>
        <w:t xml:space="preserve">, </w:t>
      </w:r>
      <w:r w:rsidRPr="000459A8">
        <w:rPr>
          <w:szCs w:val="24"/>
        </w:rPr>
        <w:t>pour l</w:t>
      </w:r>
      <w:r w:rsidR="007518BB" w:rsidRPr="000459A8">
        <w:rPr>
          <w:szCs w:val="24"/>
        </w:rPr>
        <w:t>’</w:t>
      </w:r>
      <w:r w:rsidRPr="000459A8">
        <w:rPr>
          <w:szCs w:val="24"/>
        </w:rPr>
        <w:t>appelante.</w:t>
      </w:r>
    </w:p>
    <w:p w:rsidR="00904B52" w:rsidRPr="000459A8" w:rsidRDefault="00A72AD0" w:rsidP="00AF2F5B">
      <w:pPr>
        <w:pStyle w:val="SCCNormalDoubleSpacing"/>
        <w:spacing w:after="480"/>
        <w:rPr>
          <w:szCs w:val="24"/>
        </w:rPr>
      </w:pPr>
      <w:r w:rsidRPr="000459A8">
        <w:rPr>
          <w:i/>
          <w:szCs w:val="24"/>
        </w:rPr>
        <w:tab/>
        <w:t xml:space="preserve">Susan </w:t>
      </w:r>
      <w:proofErr w:type="spellStart"/>
      <w:r w:rsidRPr="000459A8">
        <w:rPr>
          <w:i/>
          <w:szCs w:val="24"/>
        </w:rPr>
        <w:t>Magotiaux</w:t>
      </w:r>
      <w:proofErr w:type="spellEnd"/>
      <w:r w:rsidRPr="000459A8">
        <w:rPr>
          <w:szCs w:val="24"/>
        </w:rPr>
        <w:t xml:space="preserve"> et </w:t>
      </w:r>
      <w:r w:rsidRPr="000459A8">
        <w:rPr>
          <w:i/>
          <w:szCs w:val="24"/>
        </w:rPr>
        <w:t>Matthew Asma</w:t>
      </w:r>
      <w:r w:rsidRPr="000459A8">
        <w:rPr>
          <w:szCs w:val="24"/>
        </w:rPr>
        <w:t>, pour l</w:t>
      </w:r>
      <w:r w:rsidR="007518BB" w:rsidRPr="000459A8">
        <w:rPr>
          <w:szCs w:val="24"/>
        </w:rPr>
        <w:t>’</w:t>
      </w:r>
      <w:r w:rsidRPr="000459A8">
        <w:rPr>
          <w:szCs w:val="24"/>
        </w:rPr>
        <w:t>intimée.</w:t>
      </w:r>
    </w:p>
    <w:p w:rsidR="00765C6D" w:rsidRPr="000459A8" w:rsidRDefault="00765C6D" w:rsidP="00C13977">
      <w:pPr>
        <w:pStyle w:val="JudgeJuge"/>
        <w:spacing w:before="480"/>
        <w:jc w:val="both"/>
        <w:rPr>
          <w:smallCaps w:val="0"/>
          <w:szCs w:val="24"/>
          <w:lang w:val="fr-CA"/>
        </w:rPr>
      </w:pPr>
      <w:r w:rsidRPr="000459A8">
        <w:rPr>
          <w:szCs w:val="24"/>
          <w:lang w:val="fr-FR"/>
        </w:rPr>
        <w:tab/>
      </w:r>
      <w:r w:rsidR="00C13977" w:rsidRPr="000459A8">
        <w:rPr>
          <w:smallCaps w:val="0"/>
          <w:szCs w:val="24"/>
          <w:lang w:val="fr-CA"/>
        </w:rPr>
        <w:t>Version française du jugement de la juge en</w:t>
      </w:r>
      <w:r w:rsidR="00907D2E" w:rsidRPr="000459A8">
        <w:rPr>
          <w:smallCaps w:val="0"/>
          <w:szCs w:val="24"/>
          <w:lang w:val="fr-CA"/>
        </w:rPr>
        <w:t xml:space="preserve"> chef </w:t>
      </w:r>
      <w:proofErr w:type="spellStart"/>
      <w:r w:rsidR="00907D2E" w:rsidRPr="000459A8">
        <w:rPr>
          <w:smallCaps w:val="0"/>
          <w:szCs w:val="24"/>
          <w:lang w:val="fr-CA"/>
        </w:rPr>
        <w:t>McLachlin</w:t>
      </w:r>
      <w:proofErr w:type="spellEnd"/>
      <w:r w:rsidR="00907D2E" w:rsidRPr="000459A8">
        <w:rPr>
          <w:smallCaps w:val="0"/>
          <w:szCs w:val="24"/>
          <w:lang w:val="fr-CA"/>
        </w:rPr>
        <w:t xml:space="preserve"> et des juges </w:t>
      </w:r>
      <w:proofErr w:type="spellStart"/>
      <w:r w:rsidR="00907D2E" w:rsidRPr="000459A8">
        <w:rPr>
          <w:smallCaps w:val="0"/>
          <w:szCs w:val="24"/>
          <w:lang w:val="fr-CA"/>
        </w:rPr>
        <w:t>Le</w:t>
      </w:r>
      <w:r w:rsidR="00C13977" w:rsidRPr="000459A8">
        <w:rPr>
          <w:smallCaps w:val="0"/>
          <w:szCs w:val="24"/>
          <w:lang w:val="fr-CA"/>
        </w:rPr>
        <w:t>Bel</w:t>
      </w:r>
      <w:proofErr w:type="spellEnd"/>
      <w:r w:rsidR="00C13977" w:rsidRPr="000459A8">
        <w:rPr>
          <w:smallCaps w:val="0"/>
          <w:szCs w:val="24"/>
          <w:lang w:val="fr-CA"/>
        </w:rPr>
        <w:t xml:space="preserve">, Deschamps, Abella, </w:t>
      </w:r>
      <w:proofErr w:type="spellStart"/>
      <w:r w:rsidR="00C13977" w:rsidRPr="000459A8">
        <w:rPr>
          <w:smallCaps w:val="0"/>
          <w:szCs w:val="24"/>
          <w:lang w:val="fr-CA"/>
        </w:rPr>
        <w:t>Rothstein</w:t>
      </w:r>
      <w:proofErr w:type="spellEnd"/>
      <w:r w:rsidR="00C13977" w:rsidRPr="000459A8">
        <w:rPr>
          <w:smallCaps w:val="0"/>
          <w:szCs w:val="24"/>
          <w:lang w:val="fr-CA"/>
        </w:rPr>
        <w:t xml:space="preserve">, Cromwell, </w:t>
      </w:r>
      <w:proofErr w:type="spellStart"/>
      <w:r w:rsidR="00C13977" w:rsidRPr="000459A8">
        <w:rPr>
          <w:smallCaps w:val="0"/>
          <w:szCs w:val="24"/>
          <w:lang w:val="fr-CA"/>
        </w:rPr>
        <w:t>Moldaver</w:t>
      </w:r>
      <w:proofErr w:type="spellEnd"/>
      <w:r w:rsidR="00C13977" w:rsidRPr="000459A8">
        <w:rPr>
          <w:smallCaps w:val="0"/>
          <w:szCs w:val="24"/>
          <w:lang w:val="fr-CA"/>
        </w:rPr>
        <w:t xml:space="preserve"> et </w:t>
      </w:r>
      <w:proofErr w:type="spellStart"/>
      <w:r w:rsidR="00C13977" w:rsidRPr="000459A8">
        <w:rPr>
          <w:smallCaps w:val="0"/>
          <w:szCs w:val="24"/>
          <w:lang w:val="fr-CA"/>
        </w:rPr>
        <w:t>Karakatsanis</w:t>
      </w:r>
      <w:proofErr w:type="spellEnd"/>
      <w:r w:rsidR="00C13977" w:rsidRPr="000459A8">
        <w:rPr>
          <w:smallCaps w:val="0"/>
          <w:szCs w:val="24"/>
          <w:lang w:val="fr-CA"/>
        </w:rPr>
        <w:t xml:space="preserve"> rendu par</w:t>
      </w:r>
    </w:p>
    <w:p w:rsidR="00765C6D" w:rsidRPr="000459A8" w:rsidRDefault="00C13977" w:rsidP="00765C6D">
      <w:pPr>
        <w:pStyle w:val="ParaNoNdepar-AltN"/>
        <w:rPr>
          <w:rFonts w:cs="Times New Roman"/>
          <w:szCs w:val="24"/>
          <w:lang w:val="fr-FR"/>
        </w:rPr>
      </w:pPr>
      <w:r w:rsidRPr="000459A8">
        <w:rPr>
          <w:smallCaps/>
          <w:szCs w:val="24"/>
          <w:lang w:val="fr-FR"/>
        </w:rPr>
        <w:t xml:space="preserve">La juge </w:t>
      </w:r>
      <w:r w:rsidRPr="000459A8">
        <w:rPr>
          <w:smallCaps/>
          <w:szCs w:val="24"/>
          <w:lang w:val="fr-CA"/>
        </w:rPr>
        <w:t>Deschamps</w:t>
      </w:r>
      <w:r w:rsidRPr="000459A8">
        <w:rPr>
          <w:szCs w:val="24"/>
          <w:lang w:val="fr-CA"/>
        </w:rPr>
        <w:t xml:space="preserve"> — </w:t>
      </w:r>
      <w:r w:rsidR="00765C6D" w:rsidRPr="000459A8">
        <w:rPr>
          <w:rFonts w:cs="Times New Roman"/>
          <w:szCs w:val="24"/>
          <w:lang w:val="fr-FR"/>
        </w:rPr>
        <w:t xml:space="preserve">Le pourvoi porte sur l’interprétation qu’il convient de donner à l’art. 127 du </w:t>
      </w:r>
      <w:r w:rsidR="00765C6D" w:rsidRPr="000459A8">
        <w:rPr>
          <w:rFonts w:cs="Times New Roman"/>
          <w:i/>
          <w:szCs w:val="24"/>
          <w:lang w:val="fr-FR"/>
        </w:rPr>
        <w:t>Code criminel</w:t>
      </w:r>
      <w:r w:rsidR="00765C6D" w:rsidRPr="000459A8">
        <w:rPr>
          <w:rFonts w:cs="Times New Roman"/>
          <w:szCs w:val="24"/>
          <w:lang w:val="fr-FR"/>
        </w:rPr>
        <w:t>, L.R.C. 1985, ch. C</w:t>
      </w:r>
      <w:r w:rsidR="00765C6D" w:rsidRPr="000459A8">
        <w:rPr>
          <w:rFonts w:cs="Times New Roman"/>
          <w:szCs w:val="24"/>
          <w:lang w:val="fr-FR"/>
        </w:rPr>
        <w:noBreakHyphen/>
        <w:t>46 (« </w:t>
      </w:r>
      <w:r w:rsidR="00765C6D" w:rsidRPr="000459A8">
        <w:rPr>
          <w:rFonts w:cs="Times New Roman"/>
          <w:i/>
          <w:szCs w:val="24"/>
          <w:lang w:val="fr-FR"/>
        </w:rPr>
        <w:t xml:space="preserve">C. </w:t>
      </w:r>
      <w:proofErr w:type="spellStart"/>
      <w:r w:rsidR="00765C6D" w:rsidRPr="000459A8">
        <w:rPr>
          <w:rFonts w:cs="Times New Roman"/>
          <w:i/>
          <w:szCs w:val="24"/>
          <w:lang w:val="fr-FR"/>
        </w:rPr>
        <w:t>cr</w:t>
      </w:r>
      <w:proofErr w:type="spellEnd"/>
      <w:r w:rsidR="00765C6D" w:rsidRPr="000459A8">
        <w:rPr>
          <w:rFonts w:cs="Times New Roman"/>
          <w:i/>
          <w:szCs w:val="24"/>
          <w:lang w:val="fr-FR"/>
        </w:rPr>
        <w:t>.</w:t>
      </w:r>
      <w:r w:rsidR="00765C6D" w:rsidRPr="000459A8">
        <w:rPr>
          <w:rFonts w:cs="Times New Roman"/>
          <w:szCs w:val="24"/>
          <w:lang w:val="fr-FR"/>
        </w:rPr>
        <w:t xml:space="preserve"> »), à la lumière de l’arrêt de notre Cour </w:t>
      </w:r>
      <w:r w:rsidR="00765C6D" w:rsidRPr="000459A8">
        <w:rPr>
          <w:rFonts w:cs="Times New Roman"/>
          <w:i/>
          <w:szCs w:val="24"/>
          <w:lang w:val="fr-FR"/>
        </w:rPr>
        <w:t xml:space="preserve">R. c. </w:t>
      </w:r>
      <w:proofErr w:type="spellStart"/>
      <w:r w:rsidR="00765C6D" w:rsidRPr="000459A8">
        <w:rPr>
          <w:rFonts w:cs="Times New Roman"/>
          <w:i/>
          <w:szCs w:val="24"/>
          <w:lang w:val="fr-FR"/>
        </w:rPr>
        <w:t>Clement</w:t>
      </w:r>
      <w:proofErr w:type="spellEnd"/>
      <w:r w:rsidR="00765C6D" w:rsidRPr="000459A8">
        <w:rPr>
          <w:rFonts w:cs="Times New Roman"/>
          <w:szCs w:val="24"/>
          <w:lang w:val="fr-FR"/>
        </w:rPr>
        <w:t xml:space="preserve">, [1981] 2 R.C.S. 468.  Il s’agit de savoir si les dispositions des </w:t>
      </w:r>
      <w:r w:rsidR="00765C6D" w:rsidRPr="000459A8">
        <w:rPr>
          <w:rFonts w:cs="Times New Roman"/>
          <w:i/>
          <w:szCs w:val="24"/>
          <w:lang w:val="fr-FR"/>
        </w:rPr>
        <w:t>Règles de procédure civile</w:t>
      </w:r>
      <w:r w:rsidR="00765C6D" w:rsidRPr="000459A8">
        <w:rPr>
          <w:rFonts w:cs="Times New Roman"/>
          <w:szCs w:val="24"/>
          <w:lang w:val="fr-FR"/>
        </w:rPr>
        <w:t xml:space="preserve"> de l’Ontario, R.R.O. 1990, </w:t>
      </w:r>
      <w:proofErr w:type="spellStart"/>
      <w:r w:rsidR="00765C6D" w:rsidRPr="000459A8">
        <w:rPr>
          <w:rFonts w:cs="Times New Roman"/>
          <w:szCs w:val="24"/>
          <w:lang w:val="fr-FR"/>
        </w:rPr>
        <w:t>Règl</w:t>
      </w:r>
      <w:proofErr w:type="spellEnd"/>
      <w:r w:rsidR="00765C6D" w:rsidRPr="000459A8">
        <w:rPr>
          <w:rFonts w:cs="Times New Roman"/>
          <w:szCs w:val="24"/>
          <w:lang w:val="fr-FR"/>
        </w:rPr>
        <w:t>. 194 (les « Règles ontariennes »), qui régissent les motions visant à obtenir une ordonnance pour outrage</w:t>
      </w:r>
      <w:r w:rsidRPr="000459A8">
        <w:rPr>
          <w:rFonts w:cs="Times New Roman"/>
          <w:szCs w:val="24"/>
          <w:lang w:val="fr-FR"/>
        </w:rPr>
        <w:t>,</w:t>
      </w:r>
      <w:r w:rsidR="00765C6D" w:rsidRPr="000459A8">
        <w:rPr>
          <w:rFonts w:cs="Times New Roman"/>
          <w:szCs w:val="24"/>
          <w:lang w:val="fr-FR"/>
        </w:rPr>
        <w:t xml:space="preserve"> excluent l’application de l’art. 127 </w:t>
      </w:r>
      <w:r w:rsidR="00C948F0">
        <w:rPr>
          <w:rFonts w:cs="Times New Roman"/>
          <w:szCs w:val="24"/>
          <w:lang w:val="fr-FR"/>
        </w:rPr>
        <w:t xml:space="preserve">du </w:t>
      </w:r>
      <w:r w:rsidR="00765C6D" w:rsidRPr="000459A8">
        <w:rPr>
          <w:rFonts w:cs="Times New Roman"/>
          <w:i/>
          <w:szCs w:val="24"/>
          <w:lang w:val="fr-FR"/>
        </w:rPr>
        <w:t xml:space="preserve">C. </w:t>
      </w:r>
      <w:proofErr w:type="spellStart"/>
      <w:proofErr w:type="gramStart"/>
      <w:r w:rsidR="00765C6D" w:rsidRPr="000459A8">
        <w:rPr>
          <w:rFonts w:cs="Times New Roman"/>
          <w:i/>
          <w:szCs w:val="24"/>
          <w:lang w:val="fr-FR"/>
        </w:rPr>
        <w:t>cr</w:t>
      </w:r>
      <w:proofErr w:type="spellEnd"/>
      <w:r w:rsidR="00765C6D" w:rsidRPr="000459A8">
        <w:rPr>
          <w:rFonts w:cs="Times New Roman"/>
          <w:i/>
          <w:szCs w:val="24"/>
          <w:lang w:val="fr-FR"/>
        </w:rPr>
        <w:t>.</w:t>
      </w:r>
      <w:r w:rsidR="00765C6D" w:rsidRPr="000459A8">
        <w:rPr>
          <w:rFonts w:cs="Times New Roman"/>
          <w:szCs w:val="24"/>
          <w:lang w:val="fr-FR"/>
        </w:rPr>
        <w:t>,</w:t>
      </w:r>
      <w:proofErr w:type="gramEnd"/>
      <w:r w:rsidR="00765C6D" w:rsidRPr="000459A8">
        <w:rPr>
          <w:rFonts w:cs="Times New Roman"/>
          <w:szCs w:val="24"/>
          <w:lang w:val="fr-FR"/>
        </w:rPr>
        <w:t xml:space="preserve"> lequel fait de la désobéissance à une ordonnance judiciaire une infraction criminelle.  </w:t>
      </w:r>
      <w:r w:rsidRPr="000459A8">
        <w:rPr>
          <w:rFonts w:cs="Times New Roman"/>
          <w:szCs w:val="24"/>
          <w:lang w:val="fr-FR"/>
        </w:rPr>
        <w:t xml:space="preserve">En appel, la Cour supérieure de justice et la Cour d’appel de l’Ontario, </w:t>
      </w:r>
      <w:r w:rsidR="00907D2E" w:rsidRPr="000459A8">
        <w:rPr>
          <w:rFonts w:cs="Times New Roman"/>
          <w:szCs w:val="24"/>
          <w:lang w:val="fr-FR"/>
        </w:rPr>
        <w:t>s’</w:t>
      </w:r>
      <w:r w:rsidR="00765C6D" w:rsidRPr="000459A8">
        <w:rPr>
          <w:rFonts w:cs="Times New Roman"/>
          <w:szCs w:val="24"/>
          <w:lang w:val="fr-FR"/>
        </w:rPr>
        <w:t xml:space="preserve">appuyant sur </w:t>
      </w:r>
      <w:proofErr w:type="spellStart"/>
      <w:r w:rsidR="00765C6D" w:rsidRPr="000459A8">
        <w:rPr>
          <w:rFonts w:cs="Times New Roman"/>
          <w:i/>
          <w:szCs w:val="24"/>
          <w:lang w:val="fr-FR"/>
        </w:rPr>
        <w:t>Clement</w:t>
      </w:r>
      <w:proofErr w:type="spellEnd"/>
      <w:r w:rsidR="00765C6D" w:rsidRPr="000459A8">
        <w:rPr>
          <w:rFonts w:cs="Times New Roman"/>
          <w:szCs w:val="24"/>
          <w:lang w:val="fr-FR"/>
        </w:rPr>
        <w:t xml:space="preserve">, ont conclu que ce n’est pas le cas.  Je partage leur opinion.  À mon avis, l’exception prévue à l’art. 127 est conçue pour s’appliquer lorsqu’il existe un autre mécanisme </w:t>
      </w:r>
      <w:r w:rsidR="00765C6D" w:rsidRPr="000459A8">
        <w:rPr>
          <w:rFonts w:cs="Times New Roman"/>
          <w:szCs w:val="24"/>
          <w:lang w:val="fr-FR"/>
        </w:rPr>
        <w:lastRenderedPageBreak/>
        <w:t xml:space="preserve">exprès d’origine législative permettant d’intervenir en cas de refus d’obéir à une ordonnance judiciaire.  En conséquence, je rejetterais le présent pourvoi. </w:t>
      </w:r>
    </w:p>
    <w:p w:rsidR="00765C6D" w:rsidRPr="000459A8" w:rsidRDefault="00765C6D" w:rsidP="00765C6D">
      <w:pPr>
        <w:pStyle w:val="ParaNoNdepar-AltN"/>
        <w:rPr>
          <w:rFonts w:cs="Times New Roman"/>
          <w:szCs w:val="24"/>
          <w:lang w:val="fr-FR"/>
        </w:rPr>
      </w:pPr>
      <w:r w:rsidRPr="000459A8">
        <w:rPr>
          <w:rFonts w:cs="Times New Roman"/>
          <w:szCs w:val="24"/>
          <w:lang w:val="fr-FR"/>
        </w:rPr>
        <w:t>En 2008, l’appelante a été accusée en vertu du par. 127(1) d’avoir désobéi à une ordonnance judiciaire.</w:t>
      </w:r>
      <w:r w:rsidRPr="000459A8">
        <w:rPr>
          <w:rFonts w:cs="Times New Roman"/>
          <w:i/>
          <w:szCs w:val="24"/>
          <w:lang w:val="fr-FR"/>
        </w:rPr>
        <w:t xml:space="preserve">  </w:t>
      </w:r>
      <w:r w:rsidRPr="000459A8">
        <w:rPr>
          <w:rFonts w:cs="Times New Roman"/>
          <w:szCs w:val="24"/>
          <w:lang w:val="fr-FR"/>
        </w:rPr>
        <w:t>L’ordonnance judiciaire en cause était une injonction interlocutoire, qui avait été acc</w:t>
      </w:r>
      <w:r w:rsidR="008A63B6" w:rsidRPr="000459A8">
        <w:rPr>
          <w:rFonts w:cs="Times New Roman"/>
          <w:szCs w:val="24"/>
          <w:lang w:val="fr-FR"/>
        </w:rPr>
        <w:t>ordée en 1994 par le juge Adams</w:t>
      </w:r>
      <w:r w:rsidRPr="000459A8">
        <w:rPr>
          <w:rFonts w:cs="Times New Roman"/>
          <w:szCs w:val="24"/>
          <w:lang w:val="fr-FR"/>
        </w:rPr>
        <w:t xml:space="preserve"> et qui était toujours en vigueur au moment où l’accusation a été portée (</w:t>
      </w:r>
      <w:proofErr w:type="spellStart"/>
      <w:r w:rsidRPr="000459A8">
        <w:rPr>
          <w:rFonts w:cs="Times New Roman"/>
          <w:i/>
          <w:szCs w:val="24"/>
          <w:lang w:val="fr-FR"/>
        </w:rPr>
        <w:t>sub</w:t>
      </w:r>
      <w:proofErr w:type="spellEnd"/>
      <w:r w:rsidRPr="000459A8">
        <w:rPr>
          <w:rFonts w:cs="Times New Roman"/>
          <w:i/>
          <w:szCs w:val="24"/>
          <w:lang w:val="fr-FR"/>
        </w:rPr>
        <w:t xml:space="preserve"> nom.</w:t>
      </w:r>
      <w:r w:rsidRPr="000459A8">
        <w:rPr>
          <w:rFonts w:cs="Times New Roman"/>
          <w:szCs w:val="24"/>
          <w:lang w:val="fr-FR"/>
        </w:rPr>
        <w:t xml:space="preserve"> </w:t>
      </w:r>
      <w:r w:rsidRPr="00432FF8">
        <w:rPr>
          <w:rFonts w:cs="Times New Roman"/>
          <w:i/>
          <w:szCs w:val="24"/>
          <w:lang w:val="en-US"/>
        </w:rPr>
        <w:t xml:space="preserve">Ontario (Attorney General) c. </w:t>
      </w:r>
      <w:proofErr w:type="spellStart"/>
      <w:r w:rsidRPr="00432FF8">
        <w:rPr>
          <w:rFonts w:cs="Times New Roman"/>
          <w:i/>
          <w:szCs w:val="24"/>
          <w:lang w:val="en-US"/>
        </w:rPr>
        <w:t>Dieleman</w:t>
      </w:r>
      <w:proofErr w:type="spellEnd"/>
      <w:r w:rsidRPr="00432FF8">
        <w:rPr>
          <w:rFonts w:cs="Times New Roman"/>
          <w:szCs w:val="24"/>
          <w:lang w:val="en-US"/>
        </w:rPr>
        <w:t xml:space="preserve"> (1994), 20 O.R. (3d) 229</w:t>
      </w:r>
      <w:r w:rsidR="00432FF8" w:rsidRPr="00432FF8">
        <w:rPr>
          <w:rFonts w:cs="Times New Roman"/>
          <w:szCs w:val="24"/>
          <w:lang w:val="en-US"/>
        </w:rPr>
        <w:t xml:space="preserve"> (</w:t>
      </w:r>
      <w:r w:rsidR="00432FF8">
        <w:rPr>
          <w:rFonts w:cs="Times New Roman"/>
          <w:szCs w:val="24"/>
          <w:lang w:val="en-US"/>
        </w:rPr>
        <w:t>D</w:t>
      </w:r>
      <w:r w:rsidR="00432FF8" w:rsidRPr="00432FF8">
        <w:rPr>
          <w:rFonts w:cs="Times New Roman"/>
          <w:szCs w:val="24"/>
          <w:lang w:val="en-US"/>
        </w:rPr>
        <w:t xml:space="preserve">iv. </w:t>
      </w:r>
      <w:proofErr w:type="spellStart"/>
      <w:r w:rsidR="00432FF8" w:rsidRPr="00432FF8">
        <w:rPr>
          <w:rFonts w:cs="Times New Roman"/>
          <w:szCs w:val="24"/>
          <w:lang w:val="en-US"/>
        </w:rPr>
        <w:t>gén</w:t>
      </w:r>
      <w:proofErr w:type="spellEnd"/>
      <w:r w:rsidR="00432FF8" w:rsidRPr="00432FF8">
        <w:rPr>
          <w:rFonts w:cs="Times New Roman"/>
          <w:szCs w:val="24"/>
          <w:lang w:val="en-US"/>
        </w:rPr>
        <w:t>.)</w:t>
      </w:r>
      <w:r w:rsidRPr="00432FF8">
        <w:rPr>
          <w:rFonts w:cs="Times New Roman"/>
          <w:szCs w:val="24"/>
          <w:lang w:val="en-US"/>
        </w:rPr>
        <w:t xml:space="preserve">).  </w:t>
      </w:r>
      <w:r w:rsidRPr="000459A8">
        <w:rPr>
          <w:rFonts w:cs="Times New Roman"/>
          <w:szCs w:val="24"/>
          <w:lang w:val="fr-FR"/>
        </w:rPr>
        <w:t xml:space="preserve">L’injonction interdisait à l’appelante et à d’autres personnes d’exhiber des pancartes de protestation à proximité de certaines cliniques d’avortement.  Le 8 octobre 2008, l’appelante aurait exhibé une telle pancarte à l’intérieur du périmètre prohibé entourant l’une des cliniques.  La présente instance découle d’une motion préliminaire présentée par l’appelante pour faire annuler la dénonciation, au motif que </w:t>
      </w:r>
      <w:proofErr w:type="gramStart"/>
      <w:r w:rsidRPr="000459A8">
        <w:rPr>
          <w:rFonts w:cs="Times New Roman"/>
          <w:szCs w:val="24"/>
          <w:lang w:val="fr-FR"/>
        </w:rPr>
        <w:t>les art</w:t>
      </w:r>
      <w:proofErr w:type="gramEnd"/>
      <w:r w:rsidR="00432FF8">
        <w:rPr>
          <w:rFonts w:cs="Times New Roman"/>
          <w:szCs w:val="24"/>
          <w:lang w:val="fr-FR"/>
        </w:rPr>
        <w:t>.</w:t>
      </w:r>
      <w:r w:rsidRPr="000459A8">
        <w:rPr>
          <w:rFonts w:cs="Times New Roman"/>
          <w:szCs w:val="24"/>
          <w:lang w:val="fr-FR"/>
        </w:rPr>
        <w:t> 60.11 et 60.12 des Règles</w:t>
      </w:r>
      <w:r w:rsidRPr="000459A8">
        <w:rPr>
          <w:rFonts w:cs="Times New Roman"/>
          <w:i/>
          <w:szCs w:val="24"/>
          <w:lang w:val="fr-FR"/>
        </w:rPr>
        <w:t xml:space="preserve"> </w:t>
      </w:r>
      <w:r w:rsidRPr="000459A8">
        <w:rPr>
          <w:rFonts w:cs="Times New Roman"/>
          <w:szCs w:val="24"/>
          <w:lang w:val="fr-FR"/>
        </w:rPr>
        <w:t>ontariennes excluent l’application du par. 127(1).</w:t>
      </w:r>
    </w:p>
    <w:p w:rsidR="00765C6D" w:rsidRPr="000459A8" w:rsidRDefault="00765C6D" w:rsidP="00765C6D">
      <w:pPr>
        <w:pStyle w:val="ParaNoNdepar-AltN"/>
        <w:rPr>
          <w:rFonts w:cs="Times New Roman"/>
          <w:szCs w:val="24"/>
          <w:lang w:val="fr-FR"/>
        </w:rPr>
      </w:pPr>
      <w:r w:rsidRPr="000459A8">
        <w:rPr>
          <w:rFonts w:cs="Times New Roman"/>
          <w:szCs w:val="24"/>
          <w:lang w:val="fr-FR"/>
        </w:rPr>
        <w:t xml:space="preserve">L’article 127 du </w:t>
      </w:r>
      <w:r w:rsidRPr="000459A8">
        <w:rPr>
          <w:rFonts w:cs="Times New Roman"/>
          <w:i/>
          <w:szCs w:val="24"/>
          <w:lang w:val="fr-FR"/>
        </w:rPr>
        <w:t xml:space="preserve">C. </w:t>
      </w:r>
      <w:proofErr w:type="spellStart"/>
      <w:r w:rsidRPr="000459A8">
        <w:rPr>
          <w:rFonts w:cs="Times New Roman"/>
          <w:i/>
          <w:szCs w:val="24"/>
          <w:lang w:val="fr-FR"/>
        </w:rPr>
        <w:t>cr</w:t>
      </w:r>
      <w:proofErr w:type="spellEnd"/>
      <w:r w:rsidRPr="000459A8">
        <w:rPr>
          <w:rFonts w:cs="Times New Roman"/>
          <w:i/>
          <w:szCs w:val="24"/>
          <w:lang w:val="fr-FR"/>
        </w:rPr>
        <w:t>.</w:t>
      </w:r>
      <w:r w:rsidRPr="000459A8">
        <w:rPr>
          <w:rFonts w:cs="Times New Roman"/>
          <w:szCs w:val="24"/>
          <w:lang w:val="fr-FR"/>
        </w:rPr>
        <w:t xml:space="preserve"> prévoit ce qui suit :</w:t>
      </w:r>
    </w:p>
    <w:p w:rsidR="00765C6D" w:rsidRPr="000459A8" w:rsidRDefault="00765C6D" w:rsidP="008A63B6">
      <w:pPr>
        <w:pStyle w:val="Citation-AltC"/>
        <w:tabs>
          <w:tab w:val="left" w:pos="1800"/>
        </w:tabs>
        <w:spacing w:after="240"/>
        <w:ind w:left="1168" w:hanging="1168"/>
        <w:contextualSpacing w:val="0"/>
        <w:rPr>
          <w:szCs w:val="24"/>
          <w:lang w:val="fr-FR"/>
        </w:rPr>
      </w:pPr>
      <w:r w:rsidRPr="000459A8">
        <w:rPr>
          <w:b/>
          <w:bCs/>
          <w:szCs w:val="24"/>
          <w:lang w:val="fr-FR"/>
        </w:rPr>
        <w:tab/>
      </w:r>
      <w:r w:rsidR="008A63B6" w:rsidRPr="000459A8">
        <w:rPr>
          <w:b/>
          <w:bCs/>
          <w:szCs w:val="24"/>
          <w:lang w:val="fr-FR"/>
        </w:rPr>
        <w:tab/>
      </w:r>
      <w:r w:rsidRPr="000459A8">
        <w:rPr>
          <w:b/>
          <w:bCs/>
          <w:szCs w:val="24"/>
          <w:lang w:val="fr-FR"/>
        </w:rPr>
        <w:t>127.</w:t>
      </w:r>
      <w:r w:rsidRPr="000459A8">
        <w:rPr>
          <w:szCs w:val="24"/>
          <w:lang w:val="fr-FR"/>
        </w:rPr>
        <w:t xml:space="preserve"> (1)  Quiconque, sans excuse légitime, désobéit à une </w:t>
      </w:r>
      <w:r w:rsidRPr="000459A8">
        <w:rPr>
          <w:szCs w:val="24"/>
          <w:u w:val="single"/>
          <w:lang w:val="fr-FR"/>
        </w:rPr>
        <w:t>ordonnance légale</w:t>
      </w:r>
      <w:r w:rsidRPr="000459A8">
        <w:rPr>
          <w:szCs w:val="24"/>
          <w:lang w:val="fr-FR"/>
        </w:rPr>
        <w:t xml:space="preserve"> donnée par un tribunal judiciaire ou par une personne ou un corps de personnes autorisé par une loi à donner ou décerner l’ordonnance, autre qu’une ordonnance visant le paiement d’argent, est, à moins que </w:t>
      </w:r>
      <w:r w:rsidRPr="000459A8">
        <w:rPr>
          <w:szCs w:val="24"/>
          <w:u w:val="single"/>
          <w:lang w:val="fr-FR"/>
        </w:rPr>
        <w:t>la loi ne prévoie expressément</w:t>
      </w:r>
      <w:r w:rsidRPr="000459A8">
        <w:rPr>
          <w:szCs w:val="24"/>
          <w:lang w:val="fr-FR"/>
        </w:rPr>
        <w:t xml:space="preserve"> une peine ou un autre mode de procédure, coupable : </w:t>
      </w:r>
    </w:p>
    <w:p w:rsidR="00765C6D" w:rsidRPr="000459A8" w:rsidRDefault="00765C6D" w:rsidP="008A63B6">
      <w:pPr>
        <w:pStyle w:val="Citation-AltC"/>
        <w:tabs>
          <w:tab w:val="left" w:pos="1170"/>
          <w:tab w:val="left" w:pos="1890"/>
          <w:tab w:val="left" w:pos="2340"/>
        </w:tabs>
        <w:spacing w:after="240"/>
        <w:ind w:left="1890" w:hanging="1890"/>
        <w:contextualSpacing w:val="0"/>
        <w:rPr>
          <w:szCs w:val="24"/>
          <w:lang w:val="fr-FR"/>
        </w:rPr>
      </w:pPr>
      <w:r w:rsidRPr="000459A8">
        <w:rPr>
          <w:i/>
          <w:iCs/>
          <w:szCs w:val="24"/>
          <w:lang w:val="fr-FR"/>
        </w:rPr>
        <w:tab/>
      </w:r>
      <w:r w:rsidR="008A63B6" w:rsidRPr="000459A8">
        <w:rPr>
          <w:i/>
          <w:iCs/>
          <w:szCs w:val="24"/>
          <w:lang w:val="fr-FR"/>
        </w:rPr>
        <w:tab/>
      </w:r>
      <w:r w:rsidRPr="000459A8">
        <w:rPr>
          <w:i/>
          <w:iCs/>
          <w:szCs w:val="24"/>
          <w:lang w:val="fr-FR"/>
        </w:rPr>
        <w:t>a</w:t>
      </w:r>
      <w:r w:rsidR="008A63B6" w:rsidRPr="000459A8">
        <w:rPr>
          <w:szCs w:val="24"/>
          <w:lang w:val="fr-FR"/>
        </w:rPr>
        <w:t>)</w:t>
      </w:r>
      <w:r w:rsidR="008A63B6" w:rsidRPr="000459A8">
        <w:rPr>
          <w:szCs w:val="24"/>
          <w:lang w:val="fr-FR"/>
        </w:rPr>
        <w:tab/>
      </w:r>
      <w:r w:rsidRPr="000459A8">
        <w:rPr>
          <w:szCs w:val="24"/>
          <w:lang w:val="fr-FR"/>
        </w:rPr>
        <w:t xml:space="preserve">soit d’un acte criminel passible d’un emprisonnement maximal de deux ans; </w:t>
      </w:r>
    </w:p>
    <w:p w:rsidR="00765C6D" w:rsidRPr="000459A8" w:rsidRDefault="00765C6D" w:rsidP="008A63B6">
      <w:pPr>
        <w:pStyle w:val="Citation-AltC"/>
        <w:tabs>
          <w:tab w:val="left" w:pos="1170"/>
          <w:tab w:val="left" w:pos="1890"/>
          <w:tab w:val="left" w:pos="2340"/>
        </w:tabs>
        <w:ind w:left="1886" w:hanging="1886"/>
        <w:contextualSpacing w:val="0"/>
        <w:rPr>
          <w:szCs w:val="24"/>
          <w:lang w:val="fr-FR"/>
        </w:rPr>
      </w:pPr>
      <w:r w:rsidRPr="000459A8">
        <w:rPr>
          <w:i/>
          <w:iCs/>
          <w:szCs w:val="24"/>
          <w:lang w:val="fr-FR"/>
        </w:rPr>
        <w:tab/>
      </w:r>
      <w:r w:rsidR="008A63B6" w:rsidRPr="000459A8">
        <w:rPr>
          <w:i/>
          <w:iCs/>
          <w:szCs w:val="24"/>
          <w:lang w:val="fr-FR"/>
        </w:rPr>
        <w:tab/>
      </w:r>
      <w:r w:rsidRPr="000459A8">
        <w:rPr>
          <w:i/>
          <w:iCs/>
          <w:szCs w:val="24"/>
          <w:lang w:val="fr-FR"/>
        </w:rPr>
        <w:t>b</w:t>
      </w:r>
      <w:r w:rsidR="008A63B6" w:rsidRPr="000459A8">
        <w:rPr>
          <w:szCs w:val="24"/>
          <w:lang w:val="fr-FR"/>
        </w:rPr>
        <w:t>)</w:t>
      </w:r>
      <w:r w:rsidR="008A63B6" w:rsidRPr="000459A8">
        <w:rPr>
          <w:szCs w:val="24"/>
          <w:lang w:val="fr-FR"/>
        </w:rPr>
        <w:tab/>
      </w:r>
      <w:r w:rsidRPr="000459A8">
        <w:rPr>
          <w:szCs w:val="24"/>
          <w:lang w:val="fr-FR"/>
        </w:rPr>
        <w:t>soit d’une infraction punissable sur déclaration de culpabilité par procédure sommaire.</w:t>
      </w:r>
    </w:p>
    <w:p w:rsidR="00765C6D" w:rsidRPr="000459A8" w:rsidRDefault="00765C6D" w:rsidP="00765C6D">
      <w:pPr>
        <w:pStyle w:val="ParaNoNdepar-AltN"/>
        <w:rPr>
          <w:rFonts w:cs="Times New Roman"/>
          <w:szCs w:val="24"/>
          <w:lang w:val="fr-FR"/>
        </w:rPr>
      </w:pPr>
      <w:r w:rsidRPr="000459A8">
        <w:rPr>
          <w:rFonts w:cs="Times New Roman"/>
          <w:szCs w:val="24"/>
          <w:lang w:val="fr-FR"/>
        </w:rPr>
        <w:lastRenderedPageBreak/>
        <w:t xml:space="preserve">L’infraction visée au par. 127(1) a été intégrée sous la forme d’un acte criminel à l’art. 139 du </w:t>
      </w:r>
      <w:r w:rsidRPr="000459A8">
        <w:rPr>
          <w:rFonts w:cs="Times New Roman"/>
          <w:i/>
          <w:szCs w:val="24"/>
          <w:lang w:val="fr-FR"/>
        </w:rPr>
        <w:t>Code criminel</w:t>
      </w:r>
      <w:r w:rsidR="008A63B6" w:rsidRPr="000459A8">
        <w:rPr>
          <w:rFonts w:cs="Times New Roman"/>
          <w:i/>
          <w:szCs w:val="24"/>
          <w:lang w:val="fr-FR"/>
        </w:rPr>
        <w:t xml:space="preserve">, </w:t>
      </w:r>
      <w:r w:rsidRPr="000459A8">
        <w:rPr>
          <w:rFonts w:cs="Times New Roman"/>
          <w:i/>
          <w:szCs w:val="24"/>
          <w:lang w:val="fr-FR"/>
        </w:rPr>
        <w:t>1892</w:t>
      </w:r>
      <w:r w:rsidRPr="000459A8">
        <w:rPr>
          <w:rFonts w:cs="Times New Roman"/>
          <w:szCs w:val="24"/>
          <w:lang w:val="fr-FR"/>
        </w:rPr>
        <w:t xml:space="preserve">, S.C. 1892, ch. 29, disposition qui s’inspirait de l’art. 115 </w:t>
      </w:r>
      <w:proofErr w:type="gramStart"/>
      <w:r w:rsidRPr="000459A8">
        <w:rPr>
          <w:rFonts w:cs="Times New Roman"/>
          <w:szCs w:val="24"/>
          <w:lang w:val="fr-FR"/>
        </w:rPr>
        <w:t xml:space="preserve">du </w:t>
      </w:r>
      <w:r w:rsidRPr="000459A8">
        <w:rPr>
          <w:rFonts w:cs="Times New Roman"/>
          <w:i/>
          <w:szCs w:val="24"/>
          <w:lang w:val="fr-FR"/>
        </w:rPr>
        <w:t>English</w:t>
      </w:r>
      <w:proofErr w:type="gramEnd"/>
      <w:r w:rsidRPr="000459A8">
        <w:rPr>
          <w:rFonts w:cs="Times New Roman"/>
          <w:i/>
          <w:szCs w:val="24"/>
          <w:lang w:val="fr-FR"/>
        </w:rPr>
        <w:t xml:space="preserve"> </w:t>
      </w:r>
      <w:proofErr w:type="spellStart"/>
      <w:r w:rsidRPr="000459A8">
        <w:rPr>
          <w:rFonts w:cs="Times New Roman"/>
          <w:i/>
          <w:szCs w:val="24"/>
          <w:lang w:val="fr-FR"/>
        </w:rPr>
        <w:t>Draft</w:t>
      </w:r>
      <w:proofErr w:type="spellEnd"/>
      <w:r w:rsidRPr="000459A8">
        <w:rPr>
          <w:rFonts w:cs="Times New Roman"/>
          <w:i/>
          <w:szCs w:val="24"/>
          <w:lang w:val="fr-FR"/>
        </w:rPr>
        <w:t xml:space="preserve"> Code</w:t>
      </w:r>
      <w:r w:rsidRPr="000459A8">
        <w:rPr>
          <w:rFonts w:cs="Times New Roman"/>
          <w:szCs w:val="24"/>
          <w:lang w:val="fr-FR"/>
        </w:rPr>
        <w:t xml:space="preserve"> (</w:t>
      </w:r>
      <w:r w:rsidR="008A63B6" w:rsidRPr="000459A8">
        <w:rPr>
          <w:rFonts w:cs="Times New Roman"/>
          <w:szCs w:val="24"/>
          <w:lang w:val="fr-FR"/>
        </w:rPr>
        <w:t>Annexe du</w:t>
      </w:r>
      <w:r w:rsidRPr="000459A8">
        <w:rPr>
          <w:rFonts w:cs="Times New Roman"/>
          <w:i/>
          <w:szCs w:val="24"/>
          <w:lang w:val="fr-FR"/>
        </w:rPr>
        <w:t xml:space="preserve"> Report of the </w:t>
      </w:r>
      <w:r w:rsidR="008A63B6" w:rsidRPr="000459A8">
        <w:rPr>
          <w:rFonts w:cs="Times New Roman"/>
          <w:i/>
          <w:szCs w:val="24"/>
          <w:lang w:val="fr-FR"/>
        </w:rPr>
        <w:t xml:space="preserve">Royal </w:t>
      </w:r>
      <w:r w:rsidRPr="000459A8">
        <w:rPr>
          <w:rFonts w:cs="Times New Roman"/>
          <w:i/>
          <w:szCs w:val="24"/>
          <w:lang w:val="fr-FR"/>
        </w:rPr>
        <w:t xml:space="preserve">Commission </w:t>
      </w:r>
      <w:proofErr w:type="spellStart"/>
      <w:r w:rsidRPr="000459A8">
        <w:rPr>
          <w:rFonts w:cs="Times New Roman"/>
          <w:i/>
          <w:szCs w:val="24"/>
          <w:lang w:val="fr-FR"/>
        </w:rPr>
        <w:t>Appointed</w:t>
      </w:r>
      <w:proofErr w:type="spellEnd"/>
      <w:r w:rsidRPr="000459A8">
        <w:rPr>
          <w:rFonts w:cs="Times New Roman"/>
          <w:i/>
          <w:szCs w:val="24"/>
          <w:lang w:val="fr-FR"/>
        </w:rPr>
        <w:t xml:space="preserve"> to </w:t>
      </w:r>
      <w:proofErr w:type="spellStart"/>
      <w:r w:rsidRPr="000459A8">
        <w:rPr>
          <w:rFonts w:cs="Times New Roman"/>
          <w:i/>
          <w:szCs w:val="24"/>
          <w:lang w:val="fr-FR"/>
        </w:rPr>
        <w:t>Consider</w:t>
      </w:r>
      <w:proofErr w:type="spellEnd"/>
      <w:r w:rsidRPr="000459A8">
        <w:rPr>
          <w:rFonts w:cs="Times New Roman"/>
          <w:i/>
          <w:szCs w:val="24"/>
          <w:lang w:val="fr-FR"/>
        </w:rPr>
        <w:t xml:space="preserve"> the Law </w:t>
      </w:r>
      <w:proofErr w:type="spellStart"/>
      <w:r w:rsidRPr="000459A8">
        <w:rPr>
          <w:rFonts w:cs="Times New Roman"/>
          <w:i/>
          <w:szCs w:val="24"/>
          <w:lang w:val="fr-FR"/>
        </w:rPr>
        <w:t>Relating</w:t>
      </w:r>
      <w:proofErr w:type="spellEnd"/>
      <w:r w:rsidRPr="000459A8">
        <w:rPr>
          <w:rFonts w:cs="Times New Roman"/>
          <w:i/>
          <w:szCs w:val="24"/>
          <w:lang w:val="fr-FR"/>
        </w:rPr>
        <w:t xml:space="preserve"> to Indictable </w:t>
      </w:r>
      <w:proofErr w:type="spellStart"/>
      <w:r w:rsidRPr="000459A8">
        <w:rPr>
          <w:rFonts w:cs="Times New Roman"/>
          <w:i/>
          <w:szCs w:val="24"/>
          <w:lang w:val="fr-FR"/>
        </w:rPr>
        <w:t>Offences</w:t>
      </w:r>
      <w:proofErr w:type="spellEnd"/>
      <w:r w:rsidRPr="000459A8">
        <w:rPr>
          <w:rFonts w:cs="Times New Roman"/>
          <w:szCs w:val="24"/>
          <w:lang w:val="fr-FR"/>
        </w:rPr>
        <w:t xml:space="preserve"> (1879), p. 88</w:t>
      </w:r>
      <w:r w:rsidR="00C948F0" w:rsidRPr="000459A8">
        <w:rPr>
          <w:rFonts w:cs="Times New Roman"/>
          <w:szCs w:val="24"/>
          <w:lang w:val="fr-FR"/>
        </w:rPr>
        <w:t>)</w:t>
      </w:r>
      <w:r w:rsidRPr="000459A8">
        <w:rPr>
          <w:rFonts w:cs="Times New Roman"/>
          <w:szCs w:val="24"/>
          <w:lang w:val="fr-FR"/>
        </w:rPr>
        <w:t>.  Dans ce projet de loi anglais, la [</w:t>
      </w:r>
      <w:r w:rsidRPr="000459A8">
        <w:rPr>
          <w:rFonts w:cs="Times New Roman"/>
          <w:smallCaps/>
          <w:szCs w:val="24"/>
          <w:lang w:val="fr-FR"/>
        </w:rPr>
        <w:t>traduction</w:t>
      </w:r>
      <w:r w:rsidRPr="000459A8">
        <w:rPr>
          <w:rFonts w:cs="Times New Roman"/>
          <w:szCs w:val="24"/>
          <w:lang w:val="fr-FR"/>
        </w:rPr>
        <w:t>] « peine ou autre mode de procédure » devait non seulement être « expressément prévu par la loi », mais aussi « exclu[</w:t>
      </w:r>
      <w:proofErr w:type="spellStart"/>
      <w:r w:rsidRPr="000459A8">
        <w:rPr>
          <w:rFonts w:cs="Times New Roman"/>
          <w:szCs w:val="24"/>
          <w:lang w:val="fr-FR"/>
        </w:rPr>
        <w:t>re</w:t>
      </w:r>
      <w:proofErr w:type="spellEnd"/>
      <w:r w:rsidRPr="000459A8">
        <w:rPr>
          <w:rFonts w:cs="Times New Roman"/>
          <w:szCs w:val="24"/>
          <w:lang w:val="fr-FR"/>
        </w:rPr>
        <w:t xml:space="preserve">] tout autre châtiment pour une telle désobéissance » : </w:t>
      </w:r>
    </w:p>
    <w:p w:rsidR="00765C6D" w:rsidRPr="000459A8" w:rsidRDefault="00765C6D" w:rsidP="008A63B6">
      <w:pPr>
        <w:pStyle w:val="Citation-AltC"/>
        <w:ind w:hanging="1166"/>
        <w:rPr>
          <w:szCs w:val="24"/>
          <w:lang w:val="fr-FR"/>
        </w:rPr>
      </w:pPr>
      <w:r w:rsidRPr="000459A8">
        <w:rPr>
          <w:szCs w:val="24"/>
          <w:lang w:val="fr-FR"/>
        </w:rPr>
        <w:tab/>
      </w:r>
      <w:r w:rsidRPr="000459A8">
        <w:rPr>
          <w:szCs w:val="24"/>
          <w:lang w:val="fr-FR"/>
        </w:rPr>
        <w:tab/>
      </w:r>
      <w:r w:rsidR="008A63B6" w:rsidRPr="000459A8">
        <w:rPr>
          <w:szCs w:val="24"/>
          <w:lang w:val="fr-FR"/>
        </w:rPr>
        <w:t>[</w:t>
      </w:r>
      <w:r w:rsidR="008A63B6" w:rsidRPr="000459A8">
        <w:rPr>
          <w:smallCaps/>
          <w:szCs w:val="24"/>
          <w:lang w:val="fr-FR"/>
        </w:rPr>
        <w:t>traduction</w:t>
      </w:r>
      <w:r w:rsidR="008A63B6" w:rsidRPr="000459A8">
        <w:rPr>
          <w:szCs w:val="24"/>
          <w:lang w:val="fr-FR"/>
        </w:rPr>
        <w:t xml:space="preserve">] </w:t>
      </w:r>
      <w:r w:rsidRPr="000459A8">
        <w:rPr>
          <w:szCs w:val="24"/>
          <w:lang w:val="fr-FR"/>
        </w:rPr>
        <w:t>Est coupable d’un acte criminel et passible, sur déclaration de culpabilité pour cet acte, d’un emprisonnement d’un an quiconque, sans excuse légitime, désobéit à une ordonnance légale donnée par un tribunal judiciaire ou par une personne ou un corps de personnes autorisé par une loi à donner ou décerner l’ordonnance, à moins que quelque peine ou autre mode de procédure ne soit expressément prévu par la loi et n’</w:t>
      </w:r>
      <w:r w:rsidRPr="000459A8">
        <w:rPr>
          <w:szCs w:val="24"/>
          <w:u w:val="single"/>
          <w:lang w:val="fr-FR"/>
        </w:rPr>
        <w:t>exclue tout autre châtiment pour une telle désobéissance</w:t>
      </w:r>
      <w:r w:rsidRPr="000459A8">
        <w:rPr>
          <w:szCs w:val="24"/>
          <w:lang w:val="fr-FR"/>
        </w:rPr>
        <w:t>.  [Je souligne; p. 88.]</w:t>
      </w:r>
    </w:p>
    <w:p w:rsidR="00765C6D" w:rsidRPr="000459A8" w:rsidRDefault="00765C6D" w:rsidP="00765C6D">
      <w:pPr>
        <w:pStyle w:val="ContinueParaSuitedupar-AltP"/>
        <w:rPr>
          <w:rFonts w:cs="Times New Roman"/>
          <w:szCs w:val="24"/>
          <w:lang w:val="fr-FR"/>
        </w:rPr>
      </w:pPr>
      <w:r w:rsidRPr="000459A8">
        <w:rPr>
          <w:rFonts w:cs="Times New Roman"/>
          <w:szCs w:val="24"/>
          <w:lang w:val="fr-FR"/>
        </w:rPr>
        <w:t>Il est révélateur que l’exception établie dans la disposition canadienne soit formulée en termes plus généraux que le texte britannique dont elle s’inspire.  Par contre, en modifiant cette disposition au fil du temps, le Parlement a toujours exigé que la loi prévoie « expressément » la peine ou un autre mode de procédure, veillant ainsi à ce que cette disposition joue un rôle important.</w:t>
      </w:r>
    </w:p>
    <w:p w:rsidR="00765C6D" w:rsidRPr="000459A8" w:rsidRDefault="00765C6D" w:rsidP="00765C6D">
      <w:pPr>
        <w:pStyle w:val="ParaNoNdepar-AltN"/>
        <w:rPr>
          <w:rFonts w:cs="Times New Roman"/>
          <w:szCs w:val="24"/>
          <w:lang w:val="fr-FR"/>
        </w:rPr>
      </w:pPr>
      <w:r w:rsidRPr="000459A8">
        <w:rPr>
          <w:rFonts w:cs="Times New Roman"/>
          <w:szCs w:val="24"/>
          <w:lang w:val="fr-FR"/>
        </w:rPr>
        <w:t xml:space="preserve">Dans </w:t>
      </w:r>
      <w:proofErr w:type="spellStart"/>
      <w:r w:rsidRPr="000459A8">
        <w:rPr>
          <w:rFonts w:cs="Times New Roman"/>
          <w:i/>
          <w:szCs w:val="24"/>
          <w:lang w:val="fr-FR"/>
        </w:rPr>
        <w:t>Clement</w:t>
      </w:r>
      <w:proofErr w:type="spellEnd"/>
      <w:r w:rsidRPr="000459A8">
        <w:rPr>
          <w:rFonts w:cs="Times New Roman"/>
          <w:szCs w:val="24"/>
          <w:lang w:val="fr-FR"/>
        </w:rPr>
        <w:t xml:space="preserve">, la Cour a statué que le terme « ordonnance légale » figurant à l’art. 127 (alors l’art. 116) vise l’ordonnance d’un tribunal « de nature criminelle ou civile » (p. 472).  </w:t>
      </w:r>
      <w:proofErr w:type="gramStart"/>
      <w:r w:rsidRPr="000459A8">
        <w:rPr>
          <w:rFonts w:cs="Times New Roman"/>
          <w:szCs w:val="24"/>
          <w:lang w:val="fr-FR"/>
        </w:rPr>
        <w:t>Elle a</w:t>
      </w:r>
      <w:proofErr w:type="gramEnd"/>
      <w:r w:rsidRPr="000459A8">
        <w:rPr>
          <w:rFonts w:cs="Times New Roman"/>
          <w:szCs w:val="24"/>
          <w:lang w:val="fr-FR"/>
        </w:rPr>
        <w:t xml:space="preserve"> également conclu que le mot « loi » mentionné dans cette disposition s’entend d’un texte législatif.  Selon la Cour, on ne saurait </w:t>
      </w:r>
      <w:r w:rsidRPr="000459A8">
        <w:rPr>
          <w:rFonts w:cs="Times New Roman"/>
          <w:szCs w:val="24"/>
          <w:lang w:val="fr-FR"/>
        </w:rPr>
        <w:lastRenderedPageBreak/>
        <w:t xml:space="preserve">appliquer l’expression « prévoie expressément », au sens de l’art. 127, au pouvoir inhérent du tribunal d’exercer ses activités et de réprimer l’outrage : « Ce qui est </w:t>
      </w:r>
      <w:r w:rsidRPr="000459A8">
        <w:rPr>
          <w:rFonts w:cs="Times New Roman"/>
          <w:szCs w:val="24"/>
          <w:lang w:val="fr-CA"/>
        </w:rPr>
        <w:t>“inhérent”</w:t>
      </w:r>
      <w:r w:rsidRPr="000459A8">
        <w:rPr>
          <w:rFonts w:cs="Times New Roman"/>
          <w:szCs w:val="24"/>
          <w:lang w:val="fr-FR"/>
        </w:rPr>
        <w:t xml:space="preserve">, presque par sa nature, n’est pas </w:t>
      </w:r>
      <w:r w:rsidRPr="000459A8">
        <w:rPr>
          <w:rFonts w:cs="Times New Roman"/>
          <w:szCs w:val="24"/>
          <w:lang w:val="fr-CA"/>
        </w:rPr>
        <w:t>“exprès”</w:t>
      </w:r>
      <w:r w:rsidRPr="000459A8">
        <w:rPr>
          <w:rFonts w:cs="Times New Roman"/>
          <w:szCs w:val="24"/>
          <w:lang w:val="fr-FR"/>
        </w:rPr>
        <w:t xml:space="preserve"> » (p. 476).  La Cour a jugé que les dispositions des </w:t>
      </w:r>
      <w:r w:rsidRPr="000459A8">
        <w:rPr>
          <w:rFonts w:cs="Times New Roman"/>
          <w:i/>
          <w:szCs w:val="24"/>
          <w:lang w:val="fr-FR"/>
        </w:rPr>
        <w:t xml:space="preserve">Règles de la Cour du Banc de la Reine </w:t>
      </w:r>
      <w:r w:rsidRPr="000459A8">
        <w:rPr>
          <w:rFonts w:cs="Times New Roman"/>
          <w:szCs w:val="24"/>
          <w:lang w:val="fr-FR"/>
        </w:rPr>
        <w:t>du Manitoba (les « Règles manitobaines ») étaient insuffisantes pour exclure l’application de l’art. 127, parce qu’elles n’établissaient pas le fondement juridique d’une pro</w:t>
      </w:r>
      <w:r w:rsidR="00B15E19" w:rsidRPr="000459A8">
        <w:rPr>
          <w:rFonts w:cs="Times New Roman"/>
          <w:szCs w:val="24"/>
          <w:lang w:val="fr-FR"/>
        </w:rPr>
        <w:t>cédure pour outrage au tribunal</w:t>
      </w:r>
      <w:r w:rsidRPr="000459A8">
        <w:rPr>
          <w:rFonts w:cs="Times New Roman"/>
          <w:szCs w:val="24"/>
          <w:lang w:val="fr-FR"/>
        </w:rPr>
        <w:t xml:space="preserve">; ce fondement continuait plutôt de se trouver dans la </w:t>
      </w:r>
      <w:proofErr w:type="spellStart"/>
      <w:r w:rsidRPr="000459A8">
        <w:rPr>
          <w:rFonts w:cs="Times New Roman"/>
          <w:szCs w:val="24"/>
          <w:lang w:val="fr-FR"/>
        </w:rPr>
        <w:t>common</w:t>
      </w:r>
      <w:proofErr w:type="spellEnd"/>
      <w:r w:rsidRPr="000459A8">
        <w:rPr>
          <w:rFonts w:cs="Times New Roman"/>
          <w:szCs w:val="24"/>
          <w:lang w:val="fr-FR"/>
        </w:rPr>
        <w:t xml:space="preserve"> </w:t>
      </w:r>
      <w:proofErr w:type="spellStart"/>
      <w:r w:rsidRPr="000459A8">
        <w:rPr>
          <w:rFonts w:cs="Times New Roman"/>
          <w:szCs w:val="24"/>
          <w:lang w:val="fr-FR"/>
        </w:rPr>
        <w:t>law</w:t>
      </w:r>
      <w:proofErr w:type="spellEnd"/>
      <w:r w:rsidRPr="000459A8">
        <w:rPr>
          <w:rFonts w:cs="Times New Roman"/>
          <w:szCs w:val="24"/>
          <w:lang w:val="fr-FR"/>
        </w:rPr>
        <w:t xml:space="preserve">.  Elle a ajouté : « Sans ce substrat de </w:t>
      </w:r>
      <w:proofErr w:type="spellStart"/>
      <w:r w:rsidRPr="00281443">
        <w:rPr>
          <w:rFonts w:cs="Times New Roman"/>
          <w:i/>
          <w:szCs w:val="24"/>
          <w:lang w:val="fr-FR"/>
        </w:rPr>
        <w:t>common</w:t>
      </w:r>
      <w:proofErr w:type="spellEnd"/>
      <w:r w:rsidRPr="00281443">
        <w:rPr>
          <w:rFonts w:cs="Times New Roman"/>
          <w:i/>
          <w:szCs w:val="24"/>
          <w:lang w:val="fr-FR"/>
        </w:rPr>
        <w:t xml:space="preserve"> </w:t>
      </w:r>
      <w:proofErr w:type="spellStart"/>
      <w:r w:rsidRPr="00281443">
        <w:rPr>
          <w:rFonts w:cs="Times New Roman"/>
          <w:i/>
          <w:szCs w:val="24"/>
          <w:lang w:val="fr-FR"/>
        </w:rPr>
        <w:t>law</w:t>
      </w:r>
      <w:proofErr w:type="spellEnd"/>
      <w:r w:rsidRPr="000459A8">
        <w:rPr>
          <w:rFonts w:cs="Times New Roman"/>
          <w:szCs w:val="24"/>
          <w:lang w:val="fr-FR"/>
        </w:rPr>
        <w:t xml:space="preserve">, ces règles ne sauraient à elles seules satisfaire à l’exception du par. [127(1)] exigeant que “la loi </w:t>
      </w:r>
      <w:r w:rsidR="00B15E19" w:rsidRPr="000459A8">
        <w:rPr>
          <w:rFonts w:cs="Times New Roman"/>
          <w:szCs w:val="24"/>
          <w:lang w:val="fr-FR"/>
        </w:rPr>
        <w:t>[</w:t>
      </w:r>
      <w:r w:rsidRPr="000459A8">
        <w:rPr>
          <w:rFonts w:cs="Times New Roman"/>
          <w:szCs w:val="24"/>
          <w:lang w:val="fr-FR"/>
        </w:rPr>
        <w:t>. . .</w:t>
      </w:r>
      <w:r w:rsidR="00B15E19" w:rsidRPr="000459A8">
        <w:rPr>
          <w:rFonts w:cs="Times New Roman"/>
          <w:szCs w:val="24"/>
          <w:lang w:val="fr-FR"/>
        </w:rPr>
        <w:t>]</w:t>
      </w:r>
      <w:r w:rsidRPr="000459A8">
        <w:rPr>
          <w:rFonts w:cs="Times New Roman"/>
          <w:szCs w:val="24"/>
          <w:lang w:val="fr-FR"/>
        </w:rPr>
        <w:t xml:space="preserve"> prévoie expressément quelque peine ou châtiment o</w:t>
      </w:r>
      <w:r w:rsidR="00281443">
        <w:rPr>
          <w:rFonts w:cs="Times New Roman"/>
          <w:szCs w:val="24"/>
          <w:lang w:val="fr-FR"/>
        </w:rPr>
        <w:t xml:space="preserve">u autre mode de </w:t>
      </w:r>
      <w:proofErr w:type="gramStart"/>
      <w:r w:rsidR="00281443">
        <w:rPr>
          <w:rFonts w:cs="Times New Roman"/>
          <w:szCs w:val="24"/>
          <w:lang w:val="fr-FR"/>
        </w:rPr>
        <w:t>procédure .</w:t>
      </w:r>
      <w:proofErr w:type="gramEnd"/>
      <w:r w:rsidR="00281443">
        <w:rPr>
          <w:rFonts w:cs="Times New Roman"/>
          <w:szCs w:val="24"/>
          <w:lang w:val="fr-FR"/>
        </w:rPr>
        <w:t> . .</w:t>
      </w:r>
      <w:r w:rsidRPr="000459A8">
        <w:rPr>
          <w:rFonts w:cs="Times New Roman"/>
          <w:szCs w:val="24"/>
          <w:lang w:val="fr-FR"/>
        </w:rPr>
        <w:t xml:space="preserve">” » (p. 475). </w:t>
      </w:r>
    </w:p>
    <w:p w:rsidR="00765C6D" w:rsidRPr="000459A8" w:rsidRDefault="00765C6D" w:rsidP="00765C6D">
      <w:pPr>
        <w:pStyle w:val="ParaNoNdepar-AltN"/>
        <w:rPr>
          <w:rFonts w:cs="Times New Roman"/>
          <w:szCs w:val="24"/>
          <w:lang w:val="fr-FR"/>
        </w:rPr>
      </w:pPr>
      <w:r w:rsidRPr="000459A8">
        <w:rPr>
          <w:rFonts w:cs="Times New Roman"/>
          <w:szCs w:val="24"/>
          <w:lang w:val="fr-FR"/>
        </w:rPr>
        <w:t xml:space="preserve">Dans </w:t>
      </w:r>
      <w:proofErr w:type="spellStart"/>
      <w:r w:rsidRPr="000459A8">
        <w:rPr>
          <w:rFonts w:cs="Times New Roman"/>
          <w:i/>
          <w:szCs w:val="24"/>
          <w:lang w:val="fr-FR"/>
        </w:rPr>
        <w:t>Clement</w:t>
      </w:r>
      <w:proofErr w:type="spellEnd"/>
      <w:r w:rsidRPr="000459A8">
        <w:rPr>
          <w:rFonts w:cs="Times New Roman"/>
          <w:szCs w:val="24"/>
          <w:lang w:val="fr-FR"/>
        </w:rPr>
        <w:t xml:space="preserve">, la Cour a rejeté l’argument selon lequel il n’y aurait aucune limite à la possibilité de recourir à l’art. 127 pour assurer le respect des ordonnances judiciaires si le pouvoir inhérent des cours supérieures de réprimer l’outrage ne suffisait pas pour que l’exception trouve application.  La Cour a souligné qu’il existe des cas où la loi prévoit expressément une peine ou d’autres modes de procédure, par l’exemple l’art. 545 (alors l’art. 472) du </w:t>
      </w:r>
      <w:r w:rsidRPr="000459A8">
        <w:rPr>
          <w:rFonts w:cs="Times New Roman"/>
          <w:i/>
          <w:szCs w:val="24"/>
          <w:lang w:val="fr-FR"/>
        </w:rPr>
        <w:t xml:space="preserve">C. </w:t>
      </w:r>
      <w:proofErr w:type="spellStart"/>
      <w:r w:rsidRPr="000459A8">
        <w:rPr>
          <w:rFonts w:cs="Times New Roman"/>
          <w:i/>
          <w:szCs w:val="24"/>
          <w:lang w:val="fr-FR"/>
        </w:rPr>
        <w:t>cr</w:t>
      </w:r>
      <w:proofErr w:type="spellEnd"/>
      <w:r w:rsidRPr="000459A8">
        <w:rPr>
          <w:rFonts w:cs="Times New Roman"/>
          <w:i/>
          <w:szCs w:val="24"/>
          <w:lang w:val="fr-FR"/>
        </w:rPr>
        <w:t>.</w:t>
      </w:r>
      <w:r w:rsidRPr="000459A8">
        <w:rPr>
          <w:rFonts w:cs="Times New Roman"/>
          <w:szCs w:val="24"/>
          <w:lang w:val="fr-FR"/>
        </w:rPr>
        <w:t xml:space="preserve"> (p. 479). </w:t>
      </w:r>
    </w:p>
    <w:p w:rsidR="00765C6D" w:rsidRPr="000459A8" w:rsidRDefault="00765C6D" w:rsidP="00765C6D">
      <w:pPr>
        <w:pStyle w:val="ParaNoNdepar-AltN"/>
        <w:rPr>
          <w:rFonts w:cs="Times New Roman"/>
          <w:szCs w:val="24"/>
          <w:lang w:val="fr-FR"/>
        </w:rPr>
      </w:pPr>
      <w:r w:rsidRPr="000459A8">
        <w:rPr>
          <w:rFonts w:cs="Times New Roman"/>
          <w:szCs w:val="24"/>
          <w:lang w:val="fr-FR"/>
        </w:rPr>
        <w:t xml:space="preserve">L’arrêt </w:t>
      </w:r>
      <w:proofErr w:type="spellStart"/>
      <w:r w:rsidRPr="000459A8">
        <w:rPr>
          <w:rFonts w:cs="Times New Roman"/>
          <w:i/>
          <w:szCs w:val="24"/>
          <w:lang w:val="fr-FR"/>
        </w:rPr>
        <w:t>Clement</w:t>
      </w:r>
      <w:proofErr w:type="spellEnd"/>
      <w:r w:rsidRPr="000459A8">
        <w:rPr>
          <w:rFonts w:cs="Times New Roman"/>
          <w:szCs w:val="24"/>
          <w:lang w:val="fr-FR"/>
        </w:rPr>
        <w:t xml:space="preserve"> a été interprété de différentes façons par les tribunaux inférieurs.  Certains ont considéré que des peines et modes de procédure précis, applicables dans des situations particulières, étaient visés par l’exception contenue à l’art. 127</w:t>
      </w:r>
      <w:r w:rsidRPr="000459A8">
        <w:rPr>
          <w:rFonts w:cs="Times New Roman"/>
          <w:i/>
          <w:szCs w:val="24"/>
          <w:lang w:val="fr-FR"/>
        </w:rPr>
        <w:t xml:space="preserve"> </w:t>
      </w:r>
      <w:r w:rsidRPr="000459A8">
        <w:rPr>
          <w:rFonts w:cs="Times New Roman"/>
          <w:szCs w:val="24"/>
          <w:lang w:val="fr-FR"/>
        </w:rPr>
        <w:t>(</w:t>
      </w:r>
      <w:r w:rsidRPr="000459A8">
        <w:rPr>
          <w:rFonts w:cs="Times New Roman"/>
          <w:i/>
          <w:szCs w:val="24"/>
          <w:lang w:val="fr-FR"/>
        </w:rPr>
        <w:t xml:space="preserve">R. c. Traves </w:t>
      </w:r>
      <w:r w:rsidRPr="000459A8">
        <w:rPr>
          <w:rFonts w:cs="Times New Roman"/>
          <w:szCs w:val="24"/>
          <w:lang w:val="fr-FR"/>
        </w:rPr>
        <w:t xml:space="preserve">(2000), </w:t>
      </w:r>
      <w:r w:rsidRPr="000459A8">
        <w:rPr>
          <w:rFonts w:eastAsia="Times New Roman" w:cs="Times New Roman"/>
          <w:szCs w:val="24"/>
          <w:lang w:val="fr-FR" w:eastAsia="en-CA"/>
        </w:rPr>
        <w:t xml:space="preserve">192 </w:t>
      </w:r>
      <w:proofErr w:type="spellStart"/>
      <w:r w:rsidRPr="000459A8">
        <w:rPr>
          <w:rFonts w:eastAsia="Times New Roman" w:cs="Times New Roman"/>
          <w:szCs w:val="24"/>
          <w:lang w:val="fr-FR" w:eastAsia="en-CA"/>
        </w:rPr>
        <w:t>Sask</w:t>
      </w:r>
      <w:proofErr w:type="spellEnd"/>
      <w:r w:rsidRPr="000459A8">
        <w:rPr>
          <w:rFonts w:eastAsia="Times New Roman" w:cs="Times New Roman"/>
          <w:szCs w:val="24"/>
          <w:lang w:val="fr-FR" w:eastAsia="en-CA"/>
        </w:rPr>
        <w:t xml:space="preserve">. R. 128 (C. </w:t>
      </w:r>
      <w:proofErr w:type="spellStart"/>
      <w:r w:rsidRPr="000459A8">
        <w:rPr>
          <w:rFonts w:eastAsia="Times New Roman" w:cs="Times New Roman"/>
          <w:szCs w:val="24"/>
          <w:lang w:val="fr-FR" w:eastAsia="en-CA"/>
        </w:rPr>
        <w:t>prov</w:t>
      </w:r>
      <w:proofErr w:type="spellEnd"/>
      <w:r w:rsidRPr="000459A8">
        <w:rPr>
          <w:rFonts w:eastAsia="Times New Roman" w:cs="Times New Roman"/>
          <w:szCs w:val="24"/>
          <w:lang w:val="fr-FR" w:eastAsia="en-CA"/>
        </w:rPr>
        <w:t xml:space="preserve">.), par. 14; </w:t>
      </w:r>
      <w:r w:rsidRPr="000459A8">
        <w:rPr>
          <w:rFonts w:cs="Times New Roman"/>
          <w:i/>
          <w:szCs w:val="24"/>
          <w:lang w:val="fr-FR"/>
        </w:rPr>
        <w:t xml:space="preserve">R. c. Dawson </w:t>
      </w:r>
      <w:r w:rsidRPr="000459A8">
        <w:rPr>
          <w:rFonts w:cs="Times New Roman"/>
          <w:szCs w:val="24"/>
          <w:lang w:val="fr-FR"/>
        </w:rPr>
        <w:t xml:space="preserve">(1995), 143 N.S.R. (2d) 1 (C.A.), par. 27).  D’autres se sont intéressés à l’exhaustivité </w:t>
      </w:r>
      <w:r w:rsidRPr="000459A8">
        <w:rPr>
          <w:rFonts w:cs="Times New Roman"/>
          <w:szCs w:val="24"/>
          <w:lang w:val="fr-FR"/>
        </w:rPr>
        <w:lastRenderedPageBreak/>
        <w:t>de la procédure particulière à suivre pour obtenir une ordonnance pour outrage (</w:t>
      </w:r>
      <w:r w:rsidRPr="000459A8">
        <w:rPr>
          <w:rFonts w:cs="Times New Roman"/>
          <w:i/>
          <w:szCs w:val="24"/>
          <w:lang w:val="fr-FR"/>
        </w:rPr>
        <w:t>R. c. Thompson</w:t>
      </w:r>
      <w:r w:rsidRPr="000459A8">
        <w:rPr>
          <w:rFonts w:cs="Times New Roman"/>
          <w:szCs w:val="24"/>
          <w:lang w:val="fr-FR"/>
        </w:rPr>
        <w:t>, [1995] B.C.J. No. 2819 (QL)</w:t>
      </w:r>
      <w:r w:rsidR="00281443">
        <w:rPr>
          <w:rFonts w:cs="Times New Roman"/>
          <w:szCs w:val="24"/>
          <w:lang w:val="fr-FR"/>
        </w:rPr>
        <w:t xml:space="preserve"> (C. </w:t>
      </w:r>
      <w:proofErr w:type="spellStart"/>
      <w:r w:rsidR="00281443">
        <w:rPr>
          <w:rFonts w:cs="Times New Roman"/>
          <w:szCs w:val="24"/>
          <w:lang w:val="fr-FR"/>
        </w:rPr>
        <w:t>prov</w:t>
      </w:r>
      <w:proofErr w:type="spellEnd"/>
      <w:r w:rsidR="00281443">
        <w:rPr>
          <w:rFonts w:cs="Times New Roman"/>
          <w:szCs w:val="24"/>
          <w:lang w:val="fr-FR"/>
        </w:rPr>
        <w:t xml:space="preserve">. (Div. </w:t>
      </w:r>
      <w:proofErr w:type="spellStart"/>
      <w:r w:rsidR="00281443">
        <w:rPr>
          <w:rFonts w:cs="Times New Roman"/>
          <w:szCs w:val="24"/>
          <w:lang w:val="fr-FR"/>
        </w:rPr>
        <w:t>crim</w:t>
      </w:r>
      <w:proofErr w:type="spellEnd"/>
      <w:r w:rsidR="00281443">
        <w:rPr>
          <w:rFonts w:cs="Times New Roman"/>
          <w:szCs w:val="24"/>
          <w:lang w:val="fr-FR"/>
        </w:rPr>
        <w:t>.))</w:t>
      </w:r>
      <w:r w:rsidRPr="000459A8">
        <w:rPr>
          <w:rFonts w:cs="Times New Roman"/>
          <w:szCs w:val="24"/>
          <w:lang w:val="fr-FR"/>
        </w:rPr>
        <w:t>, par. 38</w:t>
      </w:r>
      <w:r w:rsidRPr="000459A8">
        <w:rPr>
          <w:rFonts w:cs="Times New Roman"/>
          <w:szCs w:val="24"/>
          <w:lang w:val="fr-FR"/>
        </w:rPr>
        <w:noBreakHyphen/>
        <w:t xml:space="preserve">40; </w:t>
      </w:r>
      <w:r w:rsidRPr="000459A8">
        <w:rPr>
          <w:rFonts w:cs="Times New Roman"/>
          <w:i/>
          <w:szCs w:val="24"/>
          <w:lang w:val="fr-FR"/>
        </w:rPr>
        <w:t xml:space="preserve">R. c. </w:t>
      </w:r>
      <w:proofErr w:type="spellStart"/>
      <w:r w:rsidRPr="000459A8">
        <w:rPr>
          <w:rFonts w:cs="Times New Roman"/>
          <w:i/>
          <w:szCs w:val="24"/>
          <w:lang w:val="fr-FR"/>
        </w:rPr>
        <w:t>Creamer</w:t>
      </w:r>
      <w:proofErr w:type="spellEnd"/>
      <w:r w:rsidRPr="000459A8">
        <w:rPr>
          <w:rFonts w:cs="Times New Roman"/>
          <w:szCs w:val="24"/>
          <w:lang w:val="fr-FR"/>
        </w:rPr>
        <w:t xml:space="preserve">, 2001 ABPC 184, 297 A.R. 151, par. 22 et 24; </w:t>
      </w:r>
      <w:r w:rsidRPr="000459A8">
        <w:rPr>
          <w:rFonts w:cs="Times New Roman"/>
          <w:i/>
          <w:szCs w:val="24"/>
          <w:lang w:val="fr-FR"/>
        </w:rPr>
        <w:t xml:space="preserve">R. c. </w:t>
      </w:r>
      <w:proofErr w:type="spellStart"/>
      <w:r w:rsidRPr="000459A8">
        <w:rPr>
          <w:rFonts w:cs="Times New Roman"/>
          <w:i/>
          <w:szCs w:val="24"/>
          <w:lang w:val="fr-FR"/>
        </w:rPr>
        <w:t>MacLean</w:t>
      </w:r>
      <w:proofErr w:type="spellEnd"/>
      <w:r w:rsidRPr="000459A8">
        <w:rPr>
          <w:rFonts w:cs="Times New Roman"/>
          <w:szCs w:val="24"/>
          <w:lang w:val="fr-FR"/>
        </w:rPr>
        <w:t>, 2002 NSSC 283, 2</w:t>
      </w:r>
      <w:r w:rsidR="00B15E19" w:rsidRPr="000459A8">
        <w:rPr>
          <w:rFonts w:cs="Times New Roman"/>
          <w:szCs w:val="24"/>
          <w:lang w:val="fr-FR"/>
        </w:rPr>
        <w:t>1</w:t>
      </w:r>
      <w:r w:rsidRPr="000459A8">
        <w:rPr>
          <w:rFonts w:cs="Times New Roman"/>
          <w:szCs w:val="24"/>
          <w:lang w:val="fr-FR"/>
        </w:rPr>
        <w:t xml:space="preserve">0 N.S.R. (2d) 150, par. 30; </w:t>
      </w:r>
      <w:r w:rsidRPr="000459A8">
        <w:rPr>
          <w:rFonts w:cs="Times New Roman"/>
          <w:i/>
          <w:szCs w:val="24"/>
          <w:lang w:val="fr-FR"/>
        </w:rPr>
        <w:t xml:space="preserve">R. c. </w:t>
      </w:r>
      <w:proofErr w:type="spellStart"/>
      <w:r w:rsidRPr="000459A8">
        <w:rPr>
          <w:rFonts w:cs="Times New Roman"/>
          <w:i/>
          <w:szCs w:val="24"/>
          <w:lang w:val="fr-FR"/>
        </w:rPr>
        <w:t>Mulhall</w:t>
      </w:r>
      <w:proofErr w:type="spellEnd"/>
      <w:r w:rsidRPr="000459A8">
        <w:rPr>
          <w:rFonts w:cs="Times New Roman"/>
          <w:szCs w:val="24"/>
          <w:lang w:val="fr-FR"/>
        </w:rPr>
        <w:t xml:space="preserve">, [2001] O.J. No. 5237 (QL) (C.J.), par. 10 et 11). </w:t>
      </w:r>
      <w:bookmarkStart w:id="0" w:name="D%%49_Y"/>
      <w:bookmarkStart w:id="1" w:name="s49"/>
      <w:bookmarkEnd w:id="0"/>
      <w:bookmarkEnd w:id="1"/>
    </w:p>
    <w:p w:rsidR="00765C6D" w:rsidRPr="000459A8" w:rsidRDefault="00765C6D" w:rsidP="00765C6D">
      <w:pPr>
        <w:pStyle w:val="ParaNoNdepar-AltN"/>
        <w:rPr>
          <w:rFonts w:cs="Times New Roman"/>
          <w:szCs w:val="24"/>
          <w:lang w:val="fr-FR"/>
        </w:rPr>
      </w:pPr>
      <w:r w:rsidRPr="000459A8">
        <w:rPr>
          <w:rFonts w:cs="Times New Roman"/>
          <w:szCs w:val="24"/>
          <w:lang w:val="fr-FR"/>
        </w:rPr>
        <w:t xml:space="preserve">L’arrêt </w:t>
      </w:r>
      <w:proofErr w:type="spellStart"/>
      <w:r w:rsidRPr="000459A8">
        <w:rPr>
          <w:rFonts w:cs="Times New Roman"/>
          <w:i/>
          <w:szCs w:val="24"/>
          <w:lang w:val="fr-FR"/>
        </w:rPr>
        <w:t>Clement</w:t>
      </w:r>
      <w:proofErr w:type="spellEnd"/>
      <w:r w:rsidRPr="000459A8">
        <w:rPr>
          <w:rFonts w:cs="Times New Roman"/>
          <w:i/>
          <w:szCs w:val="24"/>
          <w:lang w:val="fr-FR"/>
        </w:rPr>
        <w:t xml:space="preserve"> </w:t>
      </w:r>
      <w:r w:rsidRPr="000459A8">
        <w:rPr>
          <w:rFonts w:cs="Times New Roman"/>
          <w:szCs w:val="24"/>
          <w:lang w:val="fr-FR"/>
        </w:rPr>
        <w:t>nous enseigne cependant que ni le degré de précision de la peine, ni le caractère exhaustif de la procédure ne permettent de déterminer si une loi satisfait aux conditions nécessaires pour exclure l’application de l’art. 127</w:t>
      </w:r>
      <w:r w:rsidR="006200CE" w:rsidRPr="000459A8">
        <w:rPr>
          <w:rFonts w:cs="Times New Roman"/>
          <w:szCs w:val="24"/>
          <w:lang w:val="fr-FR"/>
        </w:rPr>
        <w:t xml:space="preserve"> </w:t>
      </w:r>
      <w:r w:rsidR="00C948F0">
        <w:rPr>
          <w:rFonts w:cs="Times New Roman"/>
          <w:szCs w:val="24"/>
          <w:lang w:val="fr-FR"/>
        </w:rPr>
        <w:t xml:space="preserve">du </w:t>
      </w:r>
      <w:r w:rsidR="006200CE" w:rsidRPr="000459A8">
        <w:rPr>
          <w:rFonts w:cs="Times New Roman"/>
          <w:i/>
          <w:szCs w:val="24"/>
          <w:lang w:val="fr-FR"/>
        </w:rPr>
        <w:t xml:space="preserve">C. </w:t>
      </w:r>
      <w:proofErr w:type="spellStart"/>
      <w:r w:rsidR="006200CE" w:rsidRPr="000459A8">
        <w:rPr>
          <w:rFonts w:cs="Times New Roman"/>
          <w:i/>
          <w:szCs w:val="24"/>
          <w:lang w:val="fr-FR"/>
        </w:rPr>
        <w:t>cr</w:t>
      </w:r>
      <w:proofErr w:type="spellEnd"/>
      <w:r w:rsidR="006200CE" w:rsidRPr="000459A8">
        <w:rPr>
          <w:rFonts w:cs="Times New Roman"/>
          <w:i/>
          <w:szCs w:val="24"/>
          <w:lang w:val="fr-FR"/>
        </w:rPr>
        <w:t>.</w:t>
      </w:r>
      <w:r w:rsidRPr="000459A8">
        <w:rPr>
          <w:rFonts w:cs="Times New Roman"/>
          <w:szCs w:val="24"/>
          <w:lang w:val="fr-FR"/>
        </w:rPr>
        <w:t xml:space="preserve">  La décision sur ce point doit plutôt reposer sur la conclusion que le Parlement ou la législature avait l’intention de restreindre l’application de l’art. 127 en adoptant une autre solution législative expresse aux actes qui constituent un outrage au tribunal.  L’exception prévue à l’art. 127 s’applique si le Parlement ou une législature a établi le fondement légal du pouvoir du tribunal de rendre des ordonnances pour outrage, a défini les circonstances dans lesquelles une personne sera reconnue coupable d’outrage et a prévu une peine ou un mode de procédure particulier.  L’article 545</w:t>
      </w:r>
      <w:r w:rsidR="006200CE" w:rsidRPr="000459A8">
        <w:rPr>
          <w:rFonts w:cs="Times New Roman"/>
          <w:szCs w:val="24"/>
          <w:lang w:val="fr-FR"/>
        </w:rPr>
        <w:t xml:space="preserve"> (alors l’art. 472)</w:t>
      </w:r>
      <w:r w:rsidRPr="000459A8">
        <w:rPr>
          <w:rFonts w:cs="Times New Roman"/>
          <w:szCs w:val="24"/>
          <w:lang w:val="fr-FR"/>
        </w:rPr>
        <w:t xml:space="preserve"> du </w:t>
      </w:r>
      <w:r w:rsidRPr="000459A8">
        <w:rPr>
          <w:rFonts w:cs="Times New Roman"/>
          <w:i/>
          <w:szCs w:val="24"/>
          <w:lang w:val="fr-FR"/>
        </w:rPr>
        <w:t>C</w:t>
      </w:r>
      <w:r w:rsidR="00E52162" w:rsidRPr="000459A8">
        <w:rPr>
          <w:rFonts w:cs="Times New Roman"/>
          <w:i/>
          <w:szCs w:val="24"/>
          <w:lang w:val="fr-FR"/>
        </w:rPr>
        <w:t>.</w:t>
      </w:r>
      <w:r w:rsidRPr="000459A8">
        <w:rPr>
          <w:rFonts w:cs="Times New Roman"/>
          <w:i/>
          <w:szCs w:val="24"/>
          <w:lang w:val="fr-FR"/>
        </w:rPr>
        <w:t xml:space="preserve"> </w:t>
      </w:r>
      <w:proofErr w:type="spellStart"/>
      <w:proofErr w:type="gramStart"/>
      <w:r w:rsidRPr="000459A8">
        <w:rPr>
          <w:rFonts w:cs="Times New Roman"/>
          <w:i/>
          <w:szCs w:val="24"/>
          <w:lang w:val="fr-FR"/>
        </w:rPr>
        <w:t>cr</w:t>
      </w:r>
      <w:proofErr w:type="spellEnd"/>
      <w:r w:rsidR="00E52162" w:rsidRPr="000459A8">
        <w:rPr>
          <w:rFonts w:cs="Times New Roman"/>
          <w:i/>
          <w:szCs w:val="24"/>
          <w:lang w:val="fr-FR"/>
        </w:rPr>
        <w:t>.</w:t>
      </w:r>
      <w:r w:rsidRPr="000459A8">
        <w:rPr>
          <w:rFonts w:cs="Times New Roman"/>
          <w:szCs w:val="24"/>
          <w:lang w:val="fr-FR"/>
        </w:rPr>
        <w:t>,</w:t>
      </w:r>
      <w:proofErr w:type="gramEnd"/>
      <w:r w:rsidRPr="000459A8">
        <w:rPr>
          <w:rFonts w:cs="Times New Roman"/>
          <w:szCs w:val="24"/>
          <w:lang w:val="fr-FR"/>
        </w:rPr>
        <w:t xml:space="preserve"> auquel notre Cour a fait référence dans </w:t>
      </w:r>
      <w:proofErr w:type="spellStart"/>
      <w:r w:rsidRPr="000459A8">
        <w:rPr>
          <w:rFonts w:cs="Times New Roman"/>
          <w:i/>
          <w:szCs w:val="24"/>
          <w:lang w:val="fr-FR"/>
        </w:rPr>
        <w:t>Clement</w:t>
      </w:r>
      <w:proofErr w:type="spellEnd"/>
      <w:r w:rsidRPr="000459A8">
        <w:rPr>
          <w:rFonts w:cs="Times New Roman"/>
          <w:szCs w:val="24"/>
          <w:lang w:val="fr-FR"/>
        </w:rPr>
        <w:t xml:space="preserve">, constitue un exemple d’une telle disposition. </w:t>
      </w:r>
    </w:p>
    <w:p w:rsidR="00765C6D" w:rsidRPr="000459A8" w:rsidRDefault="00765C6D" w:rsidP="00765C6D">
      <w:pPr>
        <w:pStyle w:val="ParaNoNdepar-AltN"/>
        <w:rPr>
          <w:rFonts w:cs="Times New Roman"/>
          <w:szCs w:val="24"/>
          <w:lang w:val="fr-FR"/>
        </w:rPr>
      </w:pPr>
      <w:r w:rsidRPr="000459A8">
        <w:rPr>
          <w:rFonts w:cs="Times New Roman"/>
          <w:szCs w:val="24"/>
          <w:lang w:val="fr-FR"/>
        </w:rPr>
        <w:t xml:space="preserve">Le fait que des règles de procédure prévoient une peine ou un mode de procédure est insuffisant pour entraîner l’application de l’exception si le tribunal rend l’ordonnance dans l’exercice du pouvoir inhérent qu’il tient de la </w:t>
      </w:r>
      <w:proofErr w:type="spellStart"/>
      <w:r w:rsidRPr="000459A8">
        <w:rPr>
          <w:rFonts w:cs="Times New Roman"/>
          <w:szCs w:val="24"/>
          <w:lang w:val="fr-FR"/>
        </w:rPr>
        <w:t>common</w:t>
      </w:r>
      <w:proofErr w:type="spellEnd"/>
      <w:r w:rsidRPr="000459A8">
        <w:rPr>
          <w:rFonts w:cs="Times New Roman"/>
          <w:szCs w:val="24"/>
          <w:lang w:val="fr-FR"/>
        </w:rPr>
        <w:t xml:space="preserve"> </w:t>
      </w:r>
      <w:proofErr w:type="spellStart"/>
      <w:r w:rsidRPr="000459A8">
        <w:rPr>
          <w:rFonts w:cs="Times New Roman"/>
          <w:szCs w:val="24"/>
          <w:lang w:val="fr-FR"/>
        </w:rPr>
        <w:t>law</w:t>
      </w:r>
      <w:proofErr w:type="spellEnd"/>
      <w:r w:rsidRPr="000459A8">
        <w:rPr>
          <w:rFonts w:cs="Times New Roman"/>
          <w:szCs w:val="24"/>
          <w:lang w:val="fr-FR"/>
        </w:rPr>
        <w:t xml:space="preserve">.  Avec égards pour l’opinion exprimée par mon collègue le juge Fish, il n’est pas possible de </w:t>
      </w:r>
      <w:r w:rsidRPr="000459A8">
        <w:rPr>
          <w:rFonts w:cs="Times New Roman"/>
          <w:szCs w:val="24"/>
          <w:lang w:val="fr-FR"/>
        </w:rPr>
        <w:lastRenderedPageBreak/>
        <w:t xml:space="preserve">distinguer la présente affaire de l’affaire </w:t>
      </w:r>
      <w:proofErr w:type="spellStart"/>
      <w:r w:rsidRPr="000459A8">
        <w:rPr>
          <w:rFonts w:cs="Times New Roman"/>
          <w:i/>
          <w:szCs w:val="24"/>
          <w:lang w:val="fr-FR"/>
        </w:rPr>
        <w:t>Clement</w:t>
      </w:r>
      <w:proofErr w:type="spellEnd"/>
      <w:r w:rsidRPr="000459A8">
        <w:rPr>
          <w:rFonts w:cs="Times New Roman"/>
          <w:szCs w:val="24"/>
          <w:lang w:val="fr-FR"/>
        </w:rPr>
        <w:t xml:space="preserve"> aux motifs que les Règles ontariennes créent un cadre procédural plus détaillé que celui fixé par les Règles manitobaines, et que ce cadre constitue un mode de procédure que la « loi [. . .] </w:t>
      </w:r>
      <w:proofErr w:type="spellStart"/>
      <w:r w:rsidRPr="000459A8">
        <w:rPr>
          <w:rFonts w:cs="Times New Roman"/>
          <w:szCs w:val="24"/>
          <w:lang w:val="fr-FR"/>
        </w:rPr>
        <w:t>prévoi</w:t>
      </w:r>
      <w:proofErr w:type="spellEnd"/>
      <w:r w:rsidRPr="000459A8">
        <w:rPr>
          <w:rFonts w:cs="Times New Roman"/>
          <w:szCs w:val="24"/>
          <w:lang w:val="fr-FR"/>
        </w:rPr>
        <w:t xml:space="preserve">[t] expressément », suivant le sens attribué à cette expression dans cet arrêt.  À l’instar de la Cour d’appel en l’espèce (2010 ONCA 77, 100 O.R. (3d) 248), je suis d’avis que, bien que les Règles ontariennes établissent une procédure beaucoup plus détaillée que celle fixée par les règles en cause dans </w:t>
      </w:r>
      <w:proofErr w:type="spellStart"/>
      <w:r w:rsidRPr="000459A8">
        <w:rPr>
          <w:rFonts w:cs="Times New Roman"/>
          <w:i/>
          <w:szCs w:val="24"/>
          <w:lang w:val="fr-FR"/>
        </w:rPr>
        <w:t>Clement</w:t>
      </w:r>
      <w:proofErr w:type="spellEnd"/>
      <w:r w:rsidRPr="000459A8">
        <w:rPr>
          <w:rFonts w:cs="Times New Roman"/>
          <w:szCs w:val="24"/>
          <w:lang w:val="fr-FR"/>
        </w:rPr>
        <w:t xml:space="preserve">, les premières sont tout autant tributaires de la </w:t>
      </w:r>
      <w:proofErr w:type="spellStart"/>
      <w:r w:rsidRPr="000459A8">
        <w:rPr>
          <w:rFonts w:cs="Times New Roman"/>
          <w:szCs w:val="24"/>
          <w:lang w:val="fr-FR"/>
        </w:rPr>
        <w:t>common</w:t>
      </w:r>
      <w:proofErr w:type="spellEnd"/>
      <w:r w:rsidRPr="000459A8">
        <w:rPr>
          <w:rFonts w:cs="Times New Roman"/>
          <w:szCs w:val="24"/>
          <w:lang w:val="fr-FR"/>
        </w:rPr>
        <w:t xml:space="preserve"> </w:t>
      </w:r>
      <w:proofErr w:type="spellStart"/>
      <w:r w:rsidRPr="000459A8">
        <w:rPr>
          <w:rFonts w:cs="Times New Roman"/>
          <w:szCs w:val="24"/>
          <w:lang w:val="fr-FR"/>
        </w:rPr>
        <w:t>law</w:t>
      </w:r>
      <w:proofErr w:type="spellEnd"/>
      <w:r w:rsidRPr="000459A8">
        <w:rPr>
          <w:rFonts w:cs="Times New Roman"/>
          <w:szCs w:val="24"/>
          <w:lang w:val="fr-FR"/>
        </w:rPr>
        <w:t xml:space="preserve"> pour leur fondement juridique que ne l’étaient les secondes</w:t>
      </w:r>
      <w:r w:rsidRPr="000459A8">
        <w:rPr>
          <w:rFonts w:cs="Times New Roman"/>
          <w:i/>
          <w:szCs w:val="24"/>
          <w:lang w:val="fr-FR"/>
        </w:rPr>
        <w:t xml:space="preserve"> </w:t>
      </w:r>
      <w:r w:rsidRPr="000459A8">
        <w:rPr>
          <w:rFonts w:cs="Times New Roman"/>
          <w:szCs w:val="24"/>
          <w:lang w:val="fr-FR"/>
        </w:rPr>
        <w:t xml:space="preserve">(par. 41).  L’adoption de règles de procédure régissant l’exercice de la compétence inhérente d’une cour supérieure n’exclura pas l’application de l’art. 127 à moins que le Parlement ou une législature n’autorise explicitement le tribunal à punir la désobéissance à l’ordonnance judiciaire. </w:t>
      </w:r>
    </w:p>
    <w:p w:rsidR="00765C6D" w:rsidRPr="000459A8" w:rsidRDefault="00765C6D" w:rsidP="00765C6D">
      <w:pPr>
        <w:pStyle w:val="ParaNoNdepar-AltN"/>
        <w:rPr>
          <w:rFonts w:cs="Times New Roman"/>
          <w:szCs w:val="24"/>
          <w:lang w:val="fr-FR"/>
        </w:rPr>
      </w:pPr>
      <w:r w:rsidRPr="000459A8">
        <w:rPr>
          <w:rFonts w:cs="Times New Roman"/>
          <w:szCs w:val="24"/>
          <w:lang w:val="fr-FR"/>
        </w:rPr>
        <w:t xml:space="preserve">L’appelante demande à notre Cour de réexaminer l’exigence, énoncée dans </w:t>
      </w:r>
      <w:proofErr w:type="spellStart"/>
      <w:r w:rsidRPr="000459A8">
        <w:rPr>
          <w:rFonts w:cs="Times New Roman"/>
          <w:i/>
          <w:szCs w:val="24"/>
          <w:lang w:val="fr-FR"/>
        </w:rPr>
        <w:t>Clement</w:t>
      </w:r>
      <w:proofErr w:type="spellEnd"/>
      <w:r w:rsidRPr="000459A8">
        <w:rPr>
          <w:rFonts w:cs="Times New Roman"/>
          <w:szCs w:val="24"/>
          <w:lang w:val="fr-FR"/>
        </w:rPr>
        <w:t xml:space="preserve">, que la procédure engagée pour outrage devant une cour supérieure repose sur un fondement légal exprès.  </w:t>
      </w:r>
      <w:proofErr w:type="gramStart"/>
      <w:r w:rsidRPr="000459A8">
        <w:rPr>
          <w:rFonts w:cs="Times New Roman"/>
          <w:szCs w:val="24"/>
          <w:lang w:val="fr-FR"/>
        </w:rPr>
        <w:t>Elle soutient</w:t>
      </w:r>
      <w:proofErr w:type="gramEnd"/>
      <w:r w:rsidRPr="000459A8">
        <w:rPr>
          <w:rFonts w:cs="Times New Roman"/>
          <w:szCs w:val="24"/>
          <w:lang w:val="fr-FR"/>
        </w:rPr>
        <w:t xml:space="preserve"> que l’art. 96 de la </w:t>
      </w:r>
      <w:r w:rsidRPr="000459A8">
        <w:rPr>
          <w:rFonts w:cs="Times New Roman"/>
          <w:i/>
          <w:szCs w:val="24"/>
          <w:lang w:val="fr-FR"/>
        </w:rPr>
        <w:t>Loi constitutionnelle de 1867</w:t>
      </w:r>
      <w:r w:rsidRPr="000459A8">
        <w:rPr>
          <w:rFonts w:cs="Times New Roman"/>
          <w:szCs w:val="24"/>
          <w:lang w:val="fr-FR"/>
        </w:rPr>
        <w:t xml:space="preserve"> constitue déjà un tel fondement légal et </w:t>
      </w:r>
      <w:proofErr w:type="gramStart"/>
      <w:r w:rsidRPr="000459A8">
        <w:rPr>
          <w:rFonts w:cs="Times New Roman"/>
          <w:szCs w:val="24"/>
          <w:lang w:val="fr-FR"/>
        </w:rPr>
        <w:t>qu’[</w:t>
      </w:r>
      <w:proofErr w:type="gramEnd"/>
      <w:r w:rsidRPr="000459A8">
        <w:rPr>
          <w:rFonts w:cs="Times New Roman"/>
          <w:smallCaps/>
          <w:szCs w:val="24"/>
          <w:lang w:val="fr-FR"/>
        </w:rPr>
        <w:t>traduction]</w:t>
      </w:r>
      <w:r w:rsidRPr="000459A8">
        <w:rPr>
          <w:rFonts w:cs="Times New Roman"/>
          <w:szCs w:val="24"/>
          <w:lang w:val="fr-FR"/>
        </w:rPr>
        <w:t xml:space="preserve"> « [i]l est impossible d’exiger qu’une disposition constitue le fondement légal du pouvoir d’une cour supérieure d’engager une procédure pour outrage ».  Cet argument ne peut être retenu.  Les pouvoirs inhérents d’une cour supérieure d’exercer ses activités et de réprimer l’outrage reposent sur son pouvoir d’agir comme un tribunal de droit commun.  La disposition constitutionnelle permettant aux cours supérieures d’agir à ce titre ne leur confère pas expressément le pouvoir de remédier à </w:t>
      </w:r>
      <w:r w:rsidRPr="000459A8">
        <w:rPr>
          <w:rFonts w:cs="Times New Roman"/>
          <w:szCs w:val="24"/>
          <w:lang w:val="fr-FR"/>
        </w:rPr>
        <w:lastRenderedPageBreak/>
        <w:t>la transgression de l’ordre public que constitue le fait de désobéir à une ordonnance judiciaire.</w:t>
      </w:r>
    </w:p>
    <w:p w:rsidR="00765C6D" w:rsidRPr="000459A8" w:rsidRDefault="00765C6D" w:rsidP="00765C6D">
      <w:pPr>
        <w:pStyle w:val="ParaNoNdepar-AltN"/>
        <w:rPr>
          <w:rFonts w:cs="Times New Roman"/>
          <w:szCs w:val="24"/>
          <w:lang w:val="fr-FR"/>
        </w:rPr>
      </w:pPr>
      <w:r w:rsidRPr="000459A8">
        <w:rPr>
          <w:rFonts w:cs="Times New Roman"/>
          <w:szCs w:val="24"/>
          <w:lang w:val="fr-FR"/>
        </w:rPr>
        <w:t xml:space="preserve">Le Parlement et les législatures peuvent prévoir expressément </w:t>
      </w:r>
      <w:r w:rsidRPr="000459A8">
        <w:rPr>
          <w:rFonts w:cs="Times New Roman"/>
          <w:szCs w:val="24"/>
          <w:lang w:val="fr-CA"/>
        </w:rPr>
        <w:t>une autre solution</w:t>
      </w:r>
      <w:r w:rsidRPr="000459A8">
        <w:rPr>
          <w:rFonts w:cs="Times New Roman"/>
          <w:szCs w:val="24"/>
          <w:lang w:val="fr-FR"/>
        </w:rPr>
        <w:t xml:space="preserve"> permettant d’intervenir en cas de défaut d’obéir à une ordonnance judiciaire, même lorsque le pouvoir du tribunal d’engager une procédure pour outrage émane de la </w:t>
      </w:r>
      <w:proofErr w:type="spellStart"/>
      <w:r w:rsidRPr="000459A8">
        <w:rPr>
          <w:rFonts w:cs="Times New Roman"/>
          <w:szCs w:val="24"/>
          <w:lang w:val="fr-FR"/>
        </w:rPr>
        <w:t>common</w:t>
      </w:r>
      <w:proofErr w:type="spellEnd"/>
      <w:r w:rsidRPr="000459A8">
        <w:rPr>
          <w:rFonts w:cs="Times New Roman"/>
          <w:szCs w:val="24"/>
          <w:lang w:val="fr-FR"/>
        </w:rPr>
        <w:t xml:space="preserve"> </w:t>
      </w:r>
      <w:proofErr w:type="spellStart"/>
      <w:r w:rsidRPr="000459A8">
        <w:rPr>
          <w:rFonts w:cs="Times New Roman"/>
          <w:szCs w:val="24"/>
          <w:lang w:val="fr-FR"/>
        </w:rPr>
        <w:t>law</w:t>
      </w:r>
      <w:proofErr w:type="spellEnd"/>
      <w:r w:rsidRPr="000459A8">
        <w:rPr>
          <w:rFonts w:cs="Times New Roman"/>
          <w:szCs w:val="24"/>
          <w:lang w:val="fr-FR"/>
        </w:rPr>
        <w:t xml:space="preserve">.  La Cour a examiné une question analogue dans </w:t>
      </w:r>
      <w:r w:rsidRPr="000459A8">
        <w:rPr>
          <w:rFonts w:cs="Times New Roman"/>
          <w:i/>
          <w:szCs w:val="24"/>
          <w:lang w:val="fr-FR"/>
        </w:rPr>
        <w:t xml:space="preserve">R. c. </w:t>
      </w:r>
      <w:proofErr w:type="spellStart"/>
      <w:r w:rsidRPr="000459A8">
        <w:rPr>
          <w:rFonts w:cs="Times New Roman"/>
          <w:i/>
          <w:szCs w:val="24"/>
          <w:lang w:val="fr-FR"/>
        </w:rPr>
        <w:t>Hinse</w:t>
      </w:r>
      <w:proofErr w:type="spellEnd"/>
      <w:r w:rsidRPr="000459A8">
        <w:rPr>
          <w:rFonts w:cs="Times New Roman"/>
          <w:szCs w:val="24"/>
          <w:lang w:val="fr-FR"/>
        </w:rPr>
        <w:t>,</w:t>
      </w:r>
      <w:r w:rsidRPr="000459A8">
        <w:rPr>
          <w:rFonts w:cs="Times New Roman"/>
          <w:i/>
          <w:szCs w:val="24"/>
          <w:lang w:val="fr-FR"/>
        </w:rPr>
        <w:t xml:space="preserve"> </w:t>
      </w:r>
      <w:r w:rsidRPr="000459A8">
        <w:rPr>
          <w:rFonts w:cs="Times New Roman"/>
          <w:szCs w:val="24"/>
          <w:lang w:val="fr-FR"/>
        </w:rPr>
        <w:t>[1995] 4 R.C.S. 597, où elle a</w:t>
      </w:r>
      <w:r w:rsidRPr="000459A8">
        <w:rPr>
          <w:rFonts w:cs="Times New Roman"/>
          <w:i/>
          <w:szCs w:val="24"/>
          <w:lang w:val="fr-FR"/>
        </w:rPr>
        <w:t xml:space="preserve"> </w:t>
      </w:r>
      <w:r w:rsidRPr="000459A8">
        <w:rPr>
          <w:rFonts w:cs="Times New Roman"/>
          <w:szCs w:val="24"/>
          <w:lang w:val="fr-FR"/>
        </w:rPr>
        <w:t xml:space="preserve">souligné que, bien que le pouvoir d’une cour d’appel d’ordonner un arrêt des procédures découle du pouvoir inhérent d’une cour supérieure, l’art. 686 du </w:t>
      </w:r>
      <w:r w:rsidRPr="000459A8">
        <w:rPr>
          <w:rFonts w:cs="Times New Roman"/>
          <w:i/>
          <w:szCs w:val="24"/>
          <w:lang w:val="fr-FR"/>
        </w:rPr>
        <w:t xml:space="preserve">C. </w:t>
      </w:r>
      <w:proofErr w:type="spellStart"/>
      <w:r w:rsidRPr="000459A8">
        <w:rPr>
          <w:rFonts w:cs="Times New Roman"/>
          <w:i/>
          <w:szCs w:val="24"/>
          <w:lang w:val="fr-FR"/>
        </w:rPr>
        <w:t>cr</w:t>
      </w:r>
      <w:proofErr w:type="spellEnd"/>
      <w:r w:rsidRPr="000459A8">
        <w:rPr>
          <w:rFonts w:cs="Times New Roman"/>
          <w:i/>
          <w:szCs w:val="24"/>
          <w:lang w:val="fr-FR"/>
        </w:rPr>
        <w:t>.</w:t>
      </w:r>
      <w:r w:rsidRPr="000459A8">
        <w:rPr>
          <w:rFonts w:cs="Times New Roman"/>
          <w:szCs w:val="24"/>
          <w:lang w:val="fr-FR"/>
        </w:rPr>
        <w:t xml:space="preserve"> donne à ce pouvoir une « forme législative ».  Lorsqu’une cour d’appel prononce l’arrêt des procédures à la suite d’un abus de procédure, son pouvoir prend donc sa source dans un texte législatif (par. 23).  De même, comme a jugé la Cour d’appel du Québec dans </w:t>
      </w:r>
      <w:r w:rsidRPr="000459A8">
        <w:rPr>
          <w:rFonts w:cs="Times New Roman"/>
          <w:i/>
          <w:szCs w:val="24"/>
          <w:lang w:val="fr-FR"/>
        </w:rPr>
        <w:t>R. c</w:t>
      </w:r>
      <w:r w:rsidR="00965ABF" w:rsidRPr="000459A8">
        <w:rPr>
          <w:rFonts w:cs="Times New Roman"/>
          <w:i/>
          <w:szCs w:val="24"/>
          <w:lang w:val="fr-FR"/>
        </w:rPr>
        <w:t>.</w:t>
      </w:r>
      <w:r w:rsidRPr="000459A8">
        <w:rPr>
          <w:rFonts w:cs="Times New Roman"/>
          <w:i/>
          <w:szCs w:val="24"/>
          <w:lang w:val="fr-FR"/>
        </w:rPr>
        <w:t> </w:t>
      </w:r>
      <w:proofErr w:type="spellStart"/>
      <w:r w:rsidRPr="000459A8">
        <w:rPr>
          <w:rFonts w:cs="Times New Roman"/>
          <w:i/>
          <w:szCs w:val="24"/>
          <w:lang w:val="fr-FR"/>
        </w:rPr>
        <w:t>Gaudreault</w:t>
      </w:r>
      <w:proofErr w:type="spellEnd"/>
      <w:r w:rsidRPr="000459A8">
        <w:rPr>
          <w:rFonts w:cs="Times New Roman"/>
          <w:szCs w:val="24"/>
          <w:lang w:val="fr-FR"/>
        </w:rPr>
        <w:t xml:space="preserve"> (1995), 105 C.C.C. (3d) 270, p. 276,</w:t>
      </w:r>
      <w:r w:rsidRPr="000459A8">
        <w:rPr>
          <w:rFonts w:cs="Times New Roman"/>
          <w:i/>
          <w:szCs w:val="24"/>
          <w:lang w:val="fr-FR"/>
        </w:rPr>
        <w:t xml:space="preserve"> </w:t>
      </w:r>
      <w:r w:rsidRPr="000459A8">
        <w:rPr>
          <w:rFonts w:cs="Times New Roman"/>
          <w:szCs w:val="24"/>
          <w:lang w:val="fr-FR"/>
        </w:rPr>
        <w:t xml:space="preserve">la législature du Québec a ancré le pouvoir de la Cour supérieure de rendre des ordonnances pour outrage dans un texte législatif, soit l’art. 49 du </w:t>
      </w:r>
      <w:r w:rsidRPr="000459A8">
        <w:rPr>
          <w:rFonts w:cs="Times New Roman"/>
          <w:i/>
          <w:szCs w:val="24"/>
          <w:lang w:val="fr-FR"/>
        </w:rPr>
        <w:t>Code de procédure civile</w:t>
      </w:r>
      <w:r w:rsidRPr="000459A8">
        <w:rPr>
          <w:rFonts w:cs="Times New Roman"/>
          <w:szCs w:val="24"/>
          <w:lang w:val="fr-FR"/>
        </w:rPr>
        <w:t>, L.R.Q., ch. C</w:t>
      </w:r>
      <w:r w:rsidRPr="000459A8">
        <w:rPr>
          <w:rFonts w:cs="Times New Roman"/>
          <w:szCs w:val="24"/>
          <w:lang w:val="fr-FR"/>
        </w:rPr>
        <w:noBreakHyphen/>
        <w:t xml:space="preserve">25.  En précisant les circonstances dans lesquelles une personne sera reconnue coupable d’outrage et en prévoyant une peine précise pour cette infraction (art. 50 et 51), elle a adopté une solution législative expresse au défaut d’obéir à une ordonnance judiciaire, rendant ainsi l’art. 127 inopérant. </w:t>
      </w:r>
    </w:p>
    <w:p w:rsidR="00765C6D" w:rsidRPr="000459A8" w:rsidRDefault="00765C6D" w:rsidP="00765C6D">
      <w:pPr>
        <w:pStyle w:val="ParaNoNdepar-AltN"/>
        <w:rPr>
          <w:rFonts w:cs="Times New Roman"/>
          <w:szCs w:val="24"/>
          <w:lang w:val="fr-FR"/>
        </w:rPr>
      </w:pPr>
      <w:r w:rsidRPr="000459A8">
        <w:rPr>
          <w:rFonts w:cs="Times New Roman"/>
          <w:szCs w:val="24"/>
          <w:lang w:val="fr-FR"/>
        </w:rPr>
        <w:t>L’appelante invoque des considérations de politique générale pour justifier l’argument que l’art. 127 ne devrait s’appliquer qu’en [</w:t>
      </w:r>
      <w:r w:rsidRPr="000459A8">
        <w:rPr>
          <w:rFonts w:cs="Times New Roman"/>
          <w:smallCaps/>
          <w:szCs w:val="24"/>
          <w:lang w:val="fr-FR"/>
        </w:rPr>
        <w:t>traduction</w:t>
      </w:r>
      <w:r w:rsidRPr="000459A8">
        <w:rPr>
          <w:rFonts w:cs="Times New Roman"/>
          <w:szCs w:val="24"/>
          <w:lang w:val="fr-FR"/>
        </w:rPr>
        <w:t xml:space="preserve">] </w:t>
      </w:r>
      <w:r w:rsidRPr="000459A8">
        <w:rPr>
          <w:rFonts w:cs="Times New Roman"/>
          <w:szCs w:val="24"/>
          <w:lang w:val="fr-FR"/>
        </w:rPr>
        <w:lastRenderedPageBreak/>
        <w:t>« l’absence d’autres moyens d’assurer le respect d’une ordonnance ».  Selon elle, le tribunal qui a rendu l’ordonnance initiale est le mieux placé pour décider si on y a désobéi.  Bien</w:t>
      </w:r>
      <w:r w:rsidR="00965ABF" w:rsidRPr="000459A8">
        <w:rPr>
          <w:rFonts w:cs="Times New Roman"/>
          <w:szCs w:val="24"/>
          <w:lang w:val="fr-FR"/>
        </w:rPr>
        <w:t xml:space="preserve"> que je reconnaisse qu’il s’agisse</w:t>
      </w:r>
      <w:r w:rsidRPr="000459A8">
        <w:rPr>
          <w:rFonts w:cs="Times New Roman"/>
          <w:szCs w:val="24"/>
          <w:lang w:val="fr-FR"/>
        </w:rPr>
        <w:t xml:space="preserve"> d’une considération valable, elle ne saurait empêcher le ministère public de recourir à l’art. 127 dans les cas où les conditions qui entraîneraient l’application de l’exception ne sont pas réunies.   </w:t>
      </w:r>
    </w:p>
    <w:p w:rsidR="00765C6D" w:rsidRPr="000459A8" w:rsidRDefault="00765C6D" w:rsidP="00765C6D">
      <w:pPr>
        <w:pStyle w:val="ParaNoNdepar-AltN"/>
        <w:rPr>
          <w:rFonts w:cs="Times New Roman"/>
          <w:szCs w:val="24"/>
          <w:lang w:val="fr-FR"/>
        </w:rPr>
      </w:pPr>
      <w:r w:rsidRPr="000459A8">
        <w:rPr>
          <w:rFonts w:cs="Times New Roman"/>
          <w:szCs w:val="24"/>
          <w:lang w:val="fr-FR"/>
        </w:rPr>
        <w:t>L’appelante avance en outre que cette interprétation pourrait inciter les gouvernements provinciaux à se décharger de leur responsabilité d’administrer les régimes provinciaux.  En réponse à cet argument, je remarque que l’on n’a produit aucune preuve tendant à établir un recours trop fréquent à l’art. 127 pour punir l’outrage au tribunal.  Il convient également de mentionner que, devant la Cour d’appel, l’appelante a demandé l’autorisation de plaider que la poursuite devrait être suspendue parce qu’elle constitue un abus de procédure.  La Cour d’appel a rejeté cette demande et l’appelante n’a pas tenté d’obtenir l’autorisation de plaider ce moyen devant la Cour.</w:t>
      </w:r>
    </w:p>
    <w:p w:rsidR="00765C6D" w:rsidRPr="000459A8" w:rsidRDefault="00765C6D" w:rsidP="00765C6D">
      <w:pPr>
        <w:pStyle w:val="TitleTitre-AltT"/>
        <w:rPr>
          <w:rFonts w:cs="Times New Roman"/>
          <w:szCs w:val="24"/>
          <w:lang w:val="fr-CA"/>
        </w:rPr>
      </w:pPr>
      <w:r w:rsidRPr="000459A8">
        <w:rPr>
          <w:rFonts w:cs="Times New Roman"/>
          <w:szCs w:val="24"/>
          <w:u w:val="single"/>
          <w:lang w:val="fr-CA"/>
        </w:rPr>
        <w:t>Application</w:t>
      </w:r>
    </w:p>
    <w:p w:rsidR="00765C6D" w:rsidRPr="000459A8" w:rsidRDefault="00765C6D" w:rsidP="00765C6D">
      <w:pPr>
        <w:pStyle w:val="ParaNoNdepar-AltN"/>
        <w:rPr>
          <w:rFonts w:cs="Times New Roman"/>
          <w:szCs w:val="24"/>
          <w:lang w:val="fr-FR"/>
        </w:rPr>
      </w:pPr>
      <w:r w:rsidRPr="000459A8">
        <w:rPr>
          <w:rFonts w:cs="Times New Roman"/>
          <w:szCs w:val="24"/>
          <w:lang w:val="fr-FR"/>
        </w:rPr>
        <w:t xml:space="preserve">Les Règles ontariennes ne définissent pas l’outrage et ne précisent pas les circonstances dans lesquelles une personne sera déclarée coupable d’outrage.  Le juge doit donc s’appuyer sur le « substrat de </w:t>
      </w:r>
      <w:proofErr w:type="spellStart"/>
      <w:r w:rsidRPr="000459A8">
        <w:rPr>
          <w:rFonts w:cs="Times New Roman"/>
          <w:szCs w:val="24"/>
          <w:lang w:val="fr-FR"/>
        </w:rPr>
        <w:t>common</w:t>
      </w:r>
      <w:proofErr w:type="spellEnd"/>
      <w:r w:rsidRPr="000459A8">
        <w:rPr>
          <w:rFonts w:cs="Times New Roman"/>
          <w:szCs w:val="24"/>
          <w:lang w:val="fr-FR"/>
        </w:rPr>
        <w:t xml:space="preserve"> </w:t>
      </w:r>
      <w:proofErr w:type="spellStart"/>
      <w:r w:rsidRPr="000459A8">
        <w:rPr>
          <w:rFonts w:cs="Times New Roman"/>
          <w:szCs w:val="24"/>
          <w:lang w:val="fr-FR"/>
        </w:rPr>
        <w:t>law</w:t>
      </w:r>
      <w:proofErr w:type="spellEnd"/>
      <w:r w:rsidRPr="000459A8">
        <w:rPr>
          <w:rFonts w:cs="Times New Roman"/>
          <w:szCs w:val="24"/>
          <w:lang w:val="fr-FR"/>
        </w:rPr>
        <w:t xml:space="preserve"> » pour rendre une ordonnance pour outrage en application de la règle 60.11.  Les Règles ontariennes n’établissent pas non plus le fondement légal d’une procédure pour outrage.  Elles circonscrivent </w:t>
      </w:r>
      <w:r w:rsidRPr="000459A8">
        <w:rPr>
          <w:rFonts w:cs="Times New Roman"/>
          <w:szCs w:val="24"/>
          <w:lang w:val="fr-FR"/>
        </w:rPr>
        <w:lastRenderedPageBreak/>
        <w:t xml:space="preserve">seulement, tout comme les Règles manitobaines en cause dans </w:t>
      </w:r>
      <w:proofErr w:type="spellStart"/>
      <w:r w:rsidRPr="000459A8">
        <w:rPr>
          <w:rFonts w:cs="Times New Roman"/>
          <w:i/>
          <w:szCs w:val="24"/>
          <w:lang w:val="fr-FR"/>
        </w:rPr>
        <w:t>Clement</w:t>
      </w:r>
      <w:proofErr w:type="spellEnd"/>
      <w:r w:rsidRPr="000459A8">
        <w:rPr>
          <w:rFonts w:cs="Times New Roman"/>
          <w:szCs w:val="24"/>
          <w:lang w:val="fr-FR"/>
        </w:rPr>
        <w:t xml:space="preserve">, le pouvoir du juge de prononcer des ordonnances quand il déclare quelqu’un coupable d’outrage. </w:t>
      </w:r>
    </w:p>
    <w:p w:rsidR="00765C6D" w:rsidRPr="000459A8" w:rsidRDefault="00765C6D" w:rsidP="00765C6D">
      <w:pPr>
        <w:pStyle w:val="ParaNoNdepar-AltN"/>
        <w:rPr>
          <w:rFonts w:cs="Times New Roman"/>
          <w:szCs w:val="24"/>
          <w:lang w:val="fr-FR"/>
        </w:rPr>
      </w:pPr>
      <w:r w:rsidRPr="000459A8">
        <w:rPr>
          <w:rFonts w:cs="Times New Roman"/>
          <w:szCs w:val="24"/>
          <w:lang w:val="fr-FR"/>
        </w:rPr>
        <w:t xml:space="preserve">Il faut aussi avoir recours à la </w:t>
      </w:r>
      <w:proofErr w:type="spellStart"/>
      <w:r w:rsidRPr="000459A8">
        <w:rPr>
          <w:rFonts w:cs="Times New Roman"/>
          <w:szCs w:val="24"/>
          <w:lang w:val="fr-FR"/>
        </w:rPr>
        <w:t>common</w:t>
      </w:r>
      <w:proofErr w:type="spellEnd"/>
      <w:r w:rsidRPr="000459A8">
        <w:rPr>
          <w:rFonts w:cs="Times New Roman"/>
          <w:szCs w:val="24"/>
          <w:lang w:val="fr-FR"/>
        </w:rPr>
        <w:t xml:space="preserve"> </w:t>
      </w:r>
      <w:proofErr w:type="spellStart"/>
      <w:r w:rsidRPr="000459A8">
        <w:rPr>
          <w:rFonts w:cs="Times New Roman"/>
          <w:szCs w:val="24"/>
          <w:lang w:val="fr-FR"/>
        </w:rPr>
        <w:t>law</w:t>
      </w:r>
      <w:proofErr w:type="spellEnd"/>
      <w:r w:rsidRPr="000459A8">
        <w:rPr>
          <w:rFonts w:cs="Times New Roman"/>
          <w:szCs w:val="24"/>
          <w:lang w:val="fr-FR"/>
        </w:rPr>
        <w:t xml:space="preserve"> pour déterminer la peine à infliger au délinquant.  La règle 60.11(5) n’établit aucune limite quant aux peines d’emprisonnement, aux amendes ou aux dépens, et elle laisse une très grande latitude au juge.  Les règles 60.11 et 60.12 exposent de façon très détaillée la procédure à suivre sur présentation d’une motion visant à obtenir une ordonnance pour outrage, mais, compte tenu du raisonnement adopté par la Cour dans </w:t>
      </w:r>
      <w:proofErr w:type="spellStart"/>
      <w:r w:rsidRPr="000459A8">
        <w:rPr>
          <w:rFonts w:cs="Times New Roman"/>
          <w:i/>
          <w:szCs w:val="24"/>
          <w:lang w:val="fr-FR"/>
        </w:rPr>
        <w:t>Clement</w:t>
      </w:r>
      <w:proofErr w:type="spellEnd"/>
      <w:r w:rsidRPr="000459A8">
        <w:rPr>
          <w:rFonts w:cs="Times New Roman"/>
          <w:szCs w:val="24"/>
          <w:lang w:val="fr-FR"/>
        </w:rPr>
        <w:t>, la procédure à elle seule est insuffisante pour entraîner l’application de l’exception prévue à l’art. 127.</w:t>
      </w:r>
    </w:p>
    <w:p w:rsidR="00765C6D" w:rsidRPr="000459A8" w:rsidRDefault="00765C6D" w:rsidP="00765C6D">
      <w:pPr>
        <w:pStyle w:val="ParaNoNdepar-AltN"/>
        <w:tabs>
          <w:tab w:val="clear" w:pos="1166"/>
          <w:tab w:val="num" w:pos="1152"/>
        </w:tabs>
        <w:rPr>
          <w:rFonts w:cs="Times New Roman"/>
          <w:szCs w:val="24"/>
          <w:lang w:val="fr-FR"/>
        </w:rPr>
      </w:pPr>
      <w:r w:rsidRPr="000459A8">
        <w:rPr>
          <w:rFonts w:cs="Times New Roman"/>
          <w:szCs w:val="24"/>
          <w:lang w:val="fr-FR"/>
        </w:rPr>
        <w:t>Pour ces motifs, je rejetterais le pourvoi.</w:t>
      </w:r>
    </w:p>
    <w:p w:rsidR="00765C6D" w:rsidRPr="000459A8" w:rsidRDefault="00B94DEC" w:rsidP="00765C6D">
      <w:pPr>
        <w:pStyle w:val="JudgeJuge"/>
        <w:spacing w:before="480" w:after="720" w:line="240" w:lineRule="auto"/>
        <w:rPr>
          <w:smallCaps w:val="0"/>
          <w:szCs w:val="24"/>
          <w:lang w:val="fr-CA"/>
        </w:rPr>
      </w:pPr>
      <w:r w:rsidRPr="000459A8">
        <w:rPr>
          <w:szCs w:val="24"/>
          <w:lang w:val="fr-CA"/>
        </w:rPr>
        <w:tab/>
      </w:r>
      <w:r w:rsidRPr="000459A8">
        <w:rPr>
          <w:smallCaps w:val="0"/>
          <w:szCs w:val="24"/>
          <w:lang w:val="fr-CA"/>
        </w:rPr>
        <w:t>Version française des motifs rendus par</w:t>
      </w:r>
    </w:p>
    <w:p w:rsidR="00765C6D" w:rsidRPr="000459A8" w:rsidRDefault="00765C6D" w:rsidP="00765C6D">
      <w:pPr>
        <w:pStyle w:val="JudgeJuge"/>
        <w:spacing w:before="480" w:after="720" w:line="240" w:lineRule="auto"/>
        <w:rPr>
          <w:szCs w:val="24"/>
        </w:rPr>
      </w:pPr>
      <w:r w:rsidRPr="000459A8">
        <w:rPr>
          <w:szCs w:val="24"/>
          <w:lang w:val="fr-CA"/>
        </w:rPr>
        <w:tab/>
      </w:r>
      <w:r w:rsidR="00B94DEC" w:rsidRPr="000459A8">
        <w:rPr>
          <w:szCs w:val="24"/>
          <w:lang w:val="fr-CA"/>
        </w:rPr>
        <w:t>L</w:t>
      </w:r>
      <w:r w:rsidRPr="000459A8">
        <w:rPr>
          <w:szCs w:val="24"/>
        </w:rPr>
        <w:t xml:space="preserve">e </w:t>
      </w:r>
      <w:proofErr w:type="spellStart"/>
      <w:r w:rsidRPr="000459A8">
        <w:rPr>
          <w:szCs w:val="24"/>
        </w:rPr>
        <w:t>juge</w:t>
      </w:r>
      <w:proofErr w:type="spellEnd"/>
      <w:r w:rsidRPr="000459A8">
        <w:rPr>
          <w:szCs w:val="24"/>
        </w:rPr>
        <w:t xml:space="preserve"> Fish</w:t>
      </w:r>
      <w:r w:rsidRPr="000459A8">
        <w:rPr>
          <w:smallCaps w:val="0"/>
          <w:szCs w:val="24"/>
        </w:rPr>
        <w:t xml:space="preserve"> </w:t>
      </w:r>
      <w:r w:rsidR="00B94DEC" w:rsidRPr="000459A8">
        <w:rPr>
          <w:smallCaps w:val="0"/>
          <w:szCs w:val="24"/>
        </w:rPr>
        <w:t xml:space="preserve">(dissident) </w:t>
      </w:r>
      <w:r w:rsidRPr="000459A8">
        <w:rPr>
          <w:szCs w:val="24"/>
        </w:rPr>
        <w:t xml:space="preserve">— </w:t>
      </w:r>
    </w:p>
    <w:p w:rsidR="00765C6D" w:rsidRPr="000459A8" w:rsidRDefault="00765C6D" w:rsidP="00765C6D">
      <w:pPr>
        <w:pStyle w:val="TitleTitre-AltT"/>
        <w:jc w:val="center"/>
        <w:rPr>
          <w:rFonts w:cs="Times New Roman"/>
          <w:szCs w:val="24"/>
        </w:rPr>
      </w:pPr>
      <w:r w:rsidRPr="000459A8">
        <w:rPr>
          <w:rFonts w:cs="Times New Roman"/>
          <w:szCs w:val="24"/>
        </w:rPr>
        <w:t>I</w:t>
      </w:r>
    </w:p>
    <w:p w:rsidR="00765C6D" w:rsidRPr="000459A8" w:rsidRDefault="00765C6D" w:rsidP="00765C6D">
      <w:pPr>
        <w:pStyle w:val="ParaNoNdepar-AltN"/>
        <w:tabs>
          <w:tab w:val="clear" w:pos="1166"/>
          <w:tab w:val="num" w:pos="1152"/>
        </w:tabs>
        <w:rPr>
          <w:rFonts w:cs="Times New Roman"/>
          <w:szCs w:val="24"/>
          <w:lang w:val="fr-FR"/>
        </w:rPr>
      </w:pPr>
      <w:r w:rsidRPr="000459A8">
        <w:rPr>
          <w:rFonts w:cs="Times New Roman"/>
          <w:szCs w:val="24"/>
          <w:lang w:val="fr-FR"/>
        </w:rPr>
        <w:t>Il y a près de 18 ans, un juge de la Cour de l’Ontario (Division générale) a accordé une injonction interlocutoire interdisant à l’appelante, Linda Dale Gibbons, d’exhiber des pancartes à moins de 60 pieds de certaines cliniques d’avortement.  On reproche à M</w:t>
      </w:r>
      <w:r w:rsidRPr="000459A8">
        <w:rPr>
          <w:rFonts w:cs="Times New Roman"/>
          <w:szCs w:val="24"/>
          <w:vertAlign w:val="superscript"/>
          <w:lang w:val="fr-FR"/>
        </w:rPr>
        <w:t>me</w:t>
      </w:r>
      <w:r w:rsidRPr="000459A8">
        <w:rPr>
          <w:rFonts w:cs="Times New Roman"/>
          <w:szCs w:val="24"/>
          <w:lang w:val="fr-FR"/>
        </w:rPr>
        <w:t xml:space="preserve"> Gibbons d’avoir désobéi à cette ordonnance quelque 14 années plus </w:t>
      </w:r>
      <w:r w:rsidRPr="000459A8">
        <w:rPr>
          <w:rFonts w:cs="Times New Roman"/>
          <w:szCs w:val="24"/>
          <w:lang w:val="fr-FR"/>
        </w:rPr>
        <w:lastRenderedPageBreak/>
        <w:t xml:space="preserve">tard, en 2008.  Pour cette raison, elle est accusée d’avoir désobéi à une ordonnance judiciaire, en violation de l’art. 127 du </w:t>
      </w:r>
      <w:r w:rsidRPr="000459A8">
        <w:rPr>
          <w:rFonts w:cs="Times New Roman"/>
          <w:i/>
          <w:szCs w:val="24"/>
          <w:lang w:val="fr-FR"/>
        </w:rPr>
        <w:t>Code criminel</w:t>
      </w:r>
      <w:r w:rsidR="00B94DEC" w:rsidRPr="000459A8">
        <w:rPr>
          <w:rFonts w:cs="Times New Roman"/>
          <w:szCs w:val="24"/>
          <w:lang w:val="fr-FR"/>
        </w:rPr>
        <w:t>, L.R.C. 1985, ch. C-46</w:t>
      </w:r>
      <w:r w:rsidRPr="000459A8">
        <w:rPr>
          <w:rFonts w:cs="Times New Roman"/>
          <w:szCs w:val="24"/>
          <w:lang w:val="fr-FR"/>
        </w:rPr>
        <w:t xml:space="preserve">, </w:t>
      </w:r>
      <w:r w:rsidRPr="000459A8">
        <w:rPr>
          <w:rFonts w:cs="Times New Roman"/>
          <w:i/>
          <w:szCs w:val="24"/>
          <w:lang w:val="fr-FR"/>
        </w:rPr>
        <w:t xml:space="preserve">disposition qui ne s’applique pas lorsque </w:t>
      </w:r>
      <w:r w:rsidRPr="000459A8">
        <w:rPr>
          <w:rFonts w:cs="Times New Roman"/>
          <w:szCs w:val="24"/>
          <w:lang w:val="fr-FR"/>
        </w:rPr>
        <w:t>« </w:t>
      </w:r>
      <w:r w:rsidRPr="000459A8">
        <w:rPr>
          <w:rFonts w:cs="Times New Roman"/>
          <w:i/>
          <w:szCs w:val="24"/>
          <w:lang w:val="fr-FR"/>
        </w:rPr>
        <w:t xml:space="preserve">la loi [. . .] </w:t>
      </w:r>
      <w:proofErr w:type="spellStart"/>
      <w:r w:rsidRPr="000459A8">
        <w:rPr>
          <w:rFonts w:cs="Times New Roman"/>
          <w:i/>
          <w:szCs w:val="24"/>
          <w:lang w:val="fr-FR"/>
        </w:rPr>
        <w:t>prévoi</w:t>
      </w:r>
      <w:proofErr w:type="spellEnd"/>
      <w:r w:rsidRPr="000459A8">
        <w:rPr>
          <w:rFonts w:cs="Times New Roman"/>
          <w:i/>
          <w:szCs w:val="24"/>
          <w:lang w:val="fr-FR"/>
        </w:rPr>
        <w:t>[t] expressément une peine ou un autre mode de proc</w:t>
      </w:r>
      <w:r w:rsidRPr="000459A8">
        <w:rPr>
          <w:rFonts w:cs="Times New Roman"/>
          <w:i/>
          <w:szCs w:val="24"/>
          <w:lang w:val="fr-CA"/>
        </w:rPr>
        <w:t>é</w:t>
      </w:r>
      <w:r w:rsidRPr="000459A8">
        <w:rPr>
          <w:rFonts w:cs="Times New Roman"/>
          <w:i/>
          <w:szCs w:val="24"/>
          <w:lang w:val="fr-FR"/>
        </w:rPr>
        <w:t>dure</w:t>
      </w:r>
      <w:r w:rsidRPr="000459A8">
        <w:rPr>
          <w:rFonts w:cs="Times New Roman"/>
          <w:szCs w:val="24"/>
          <w:lang w:val="fr-FR"/>
        </w:rPr>
        <w:t> ».</w:t>
      </w:r>
    </w:p>
    <w:p w:rsidR="00765C6D" w:rsidRPr="000459A8" w:rsidRDefault="00765C6D" w:rsidP="00765C6D">
      <w:pPr>
        <w:pStyle w:val="ParaNoNdepar-AltN"/>
        <w:rPr>
          <w:rFonts w:cs="Times New Roman"/>
          <w:szCs w:val="24"/>
          <w:lang w:val="fr-FR"/>
        </w:rPr>
      </w:pPr>
      <w:r w:rsidRPr="000459A8">
        <w:rPr>
          <w:rFonts w:cs="Times New Roman"/>
          <w:szCs w:val="24"/>
          <w:lang w:val="fr-FR"/>
        </w:rPr>
        <w:t xml:space="preserve">Nul ne conteste que les </w:t>
      </w:r>
      <w:r w:rsidRPr="000459A8">
        <w:rPr>
          <w:rFonts w:cs="Times New Roman"/>
          <w:i/>
          <w:szCs w:val="24"/>
          <w:lang w:val="fr-FR"/>
        </w:rPr>
        <w:t xml:space="preserve">Règles de procédure civile </w:t>
      </w:r>
      <w:r w:rsidRPr="000459A8">
        <w:rPr>
          <w:rFonts w:cs="Times New Roman"/>
          <w:szCs w:val="24"/>
          <w:lang w:val="fr-FR"/>
        </w:rPr>
        <w:t>de l’Ontario (les « </w:t>
      </w:r>
      <w:r w:rsidRPr="000459A8">
        <w:rPr>
          <w:rFonts w:cs="Times New Roman"/>
          <w:i/>
          <w:szCs w:val="24"/>
          <w:lang w:val="fr-FR"/>
        </w:rPr>
        <w:t xml:space="preserve">Règles </w:t>
      </w:r>
      <w:r w:rsidRPr="000459A8">
        <w:rPr>
          <w:rFonts w:cs="Times New Roman"/>
          <w:szCs w:val="24"/>
          <w:lang w:val="fr-FR"/>
        </w:rPr>
        <w:t xml:space="preserve">ontariennes ») </w:t>
      </w:r>
      <w:proofErr w:type="gramStart"/>
      <w:r w:rsidRPr="000459A8">
        <w:rPr>
          <w:rFonts w:cs="Times New Roman"/>
          <w:szCs w:val="24"/>
          <w:lang w:val="fr-FR"/>
        </w:rPr>
        <w:t>sont</w:t>
      </w:r>
      <w:proofErr w:type="gramEnd"/>
      <w:r w:rsidRPr="000459A8">
        <w:rPr>
          <w:rFonts w:cs="Times New Roman"/>
          <w:szCs w:val="24"/>
          <w:lang w:val="fr-FR"/>
        </w:rPr>
        <w:t xml:space="preserve"> visées par le mot « loi » tel qu’il s’entend à l’art. 127 du </w:t>
      </w:r>
      <w:r w:rsidRPr="000459A8">
        <w:rPr>
          <w:rFonts w:cs="Times New Roman"/>
          <w:i/>
          <w:szCs w:val="24"/>
          <w:lang w:val="fr-FR"/>
        </w:rPr>
        <w:t>Code criminel</w:t>
      </w:r>
      <w:r w:rsidRPr="000459A8">
        <w:rPr>
          <w:rFonts w:cs="Times New Roman"/>
          <w:szCs w:val="24"/>
          <w:lang w:val="fr-FR"/>
        </w:rPr>
        <w:t xml:space="preserve">.  Par conséquent, la seule question à trancher dans le présent pourvoi consiste à décider si les </w:t>
      </w:r>
      <w:r w:rsidRPr="000459A8">
        <w:rPr>
          <w:rFonts w:cs="Times New Roman"/>
          <w:i/>
          <w:szCs w:val="24"/>
          <w:lang w:val="fr-FR"/>
        </w:rPr>
        <w:t>Règles</w:t>
      </w:r>
      <w:r w:rsidRPr="000459A8">
        <w:rPr>
          <w:rFonts w:cs="Times New Roman"/>
          <w:szCs w:val="24"/>
          <w:lang w:val="fr-FR"/>
        </w:rPr>
        <w:t xml:space="preserve"> ontariennes prévoient expressément « </w:t>
      </w:r>
      <w:r w:rsidRPr="000459A8">
        <w:rPr>
          <w:rFonts w:cs="Times New Roman"/>
          <w:i/>
          <w:szCs w:val="24"/>
          <w:lang w:val="fr-FR"/>
        </w:rPr>
        <w:t>une peine ou un autre mode de procédure</w:t>
      </w:r>
      <w:r w:rsidRPr="000459A8">
        <w:rPr>
          <w:rFonts w:cs="Times New Roman"/>
          <w:szCs w:val="24"/>
          <w:lang w:val="fr-FR"/>
        </w:rPr>
        <w:t xml:space="preserve"> » à l’égard de la désobéissance à l’ordonnance judiciaire qui nous intéresse en l’espèce. </w:t>
      </w:r>
    </w:p>
    <w:p w:rsidR="00765C6D" w:rsidRPr="000459A8" w:rsidRDefault="00765C6D" w:rsidP="00765C6D">
      <w:pPr>
        <w:pStyle w:val="ParaNoNdepar-AltN"/>
        <w:rPr>
          <w:rFonts w:cs="Times New Roman"/>
          <w:szCs w:val="24"/>
          <w:lang w:val="fr-FR"/>
        </w:rPr>
      </w:pPr>
      <w:r w:rsidRPr="000459A8">
        <w:rPr>
          <w:rFonts w:cs="Times New Roman"/>
          <w:szCs w:val="24"/>
          <w:lang w:val="fr-FR"/>
        </w:rPr>
        <w:t xml:space="preserve">Je suis convaincu que les </w:t>
      </w:r>
      <w:r w:rsidRPr="000459A8">
        <w:rPr>
          <w:rFonts w:cs="Times New Roman"/>
          <w:i/>
          <w:szCs w:val="24"/>
          <w:lang w:val="fr-FR"/>
        </w:rPr>
        <w:t>Règles</w:t>
      </w:r>
      <w:r w:rsidRPr="000459A8">
        <w:rPr>
          <w:rFonts w:cs="Times New Roman"/>
          <w:szCs w:val="24"/>
          <w:lang w:val="fr-FR"/>
        </w:rPr>
        <w:t xml:space="preserve"> ontariennes prévoient expressément à la fois une peine et un mode de procédure.</w:t>
      </w:r>
    </w:p>
    <w:p w:rsidR="00765C6D" w:rsidRPr="000459A8" w:rsidRDefault="00765C6D" w:rsidP="00765C6D">
      <w:pPr>
        <w:pStyle w:val="ParaNoNdepar-AltN"/>
        <w:rPr>
          <w:rFonts w:cs="Times New Roman"/>
          <w:szCs w:val="24"/>
          <w:lang w:val="fr-FR"/>
        </w:rPr>
      </w:pPr>
      <w:r w:rsidRPr="000459A8">
        <w:rPr>
          <w:rFonts w:cs="Times New Roman"/>
          <w:szCs w:val="24"/>
          <w:lang w:val="fr-FR"/>
        </w:rPr>
        <w:t xml:space="preserve">Comme nous le verrons, les règles 60.11 et 60.12 permettent en termes on ne peut plus clairs de rendre une « ordonnance [. . .] qui vise à obtenir l’exécution forcée d’une ordonnance enjoignant à une personne de faire quelque chose [. . .] ou de s’abstenir de faire quelque chose ».  Elles exposent en détail les exigences procédurales applicables, en plus de préciser les sanctions </w:t>
      </w:r>
      <w:proofErr w:type="spellStart"/>
      <w:r w:rsidRPr="000459A8">
        <w:rPr>
          <w:rFonts w:cs="Times New Roman"/>
          <w:szCs w:val="24"/>
          <w:lang w:val="fr-FR"/>
        </w:rPr>
        <w:t>infligeables</w:t>
      </w:r>
      <w:proofErr w:type="spellEnd"/>
      <w:r w:rsidRPr="000459A8">
        <w:rPr>
          <w:rFonts w:cs="Times New Roman"/>
          <w:szCs w:val="24"/>
          <w:lang w:val="fr-FR"/>
        </w:rPr>
        <w:t xml:space="preserve"> en cas de manquement à une ordonnance — notamment un</w:t>
      </w:r>
      <w:r w:rsidR="00B94DEC" w:rsidRPr="000459A8">
        <w:rPr>
          <w:rFonts w:cs="Times New Roman"/>
          <w:szCs w:val="24"/>
          <w:lang w:val="fr-FR"/>
        </w:rPr>
        <w:t>e</w:t>
      </w:r>
      <w:r w:rsidRPr="000459A8">
        <w:rPr>
          <w:rFonts w:cs="Times New Roman"/>
          <w:szCs w:val="24"/>
          <w:lang w:val="fr-FR"/>
        </w:rPr>
        <w:t xml:space="preserve"> période d’incarcération, le paiement d’une amende ou la condamnation à des dépens.</w:t>
      </w:r>
    </w:p>
    <w:p w:rsidR="00765C6D" w:rsidRPr="000459A8" w:rsidRDefault="00765C6D" w:rsidP="00765C6D">
      <w:pPr>
        <w:pStyle w:val="ParaNoNdepar-AltN"/>
        <w:rPr>
          <w:rFonts w:cs="Times New Roman"/>
          <w:szCs w:val="24"/>
          <w:lang w:val="fr-FR"/>
        </w:rPr>
      </w:pPr>
      <w:r w:rsidRPr="000459A8">
        <w:rPr>
          <w:rFonts w:cs="Times New Roman"/>
          <w:szCs w:val="24"/>
          <w:lang w:val="fr-FR"/>
        </w:rPr>
        <w:lastRenderedPageBreak/>
        <w:t xml:space="preserve">Le fait que l’ordonnance pour désobéissance validement autorisée par les règles 60.11 et 60.12 tire son origine ou son nom de la </w:t>
      </w:r>
      <w:proofErr w:type="spellStart"/>
      <w:r w:rsidRPr="000459A8">
        <w:rPr>
          <w:rFonts w:cs="Times New Roman"/>
          <w:szCs w:val="24"/>
          <w:lang w:val="fr-FR"/>
        </w:rPr>
        <w:t>common</w:t>
      </w:r>
      <w:proofErr w:type="spellEnd"/>
      <w:r w:rsidRPr="000459A8">
        <w:rPr>
          <w:rFonts w:cs="Times New Roman"/>
          <w:szCs w:val="24"/>
          <w:lang w:val="fr-FR"/>
        </w:rPr>
        <w:t xml:space="preserve"> </w:t>
      </w:r>
      <w:proofErr w:type="spellStart"/>
      <w:r w:rsidRPr="000459A8">
        <w:rPr>
          <w:rFonts w:cs="Times New Roman"/>
          <w:szCs w:val="24"/>
          <w:lang w:val="fr-FR"/>
        </w:rPr>
        <w:t>law</w:t>
      </w:r>
      <w:proofErr w:type="spellEnd"/>
      <w:r w:rsidRPr="000459A8">
        <w:rPr>
          <w:rFonts w:cs="Times New Roman"/>
          <w:szCs w:val="24"/>
          <w:lang w:val="fr-FR"/>
        </w:rPr>
        <w:t xml:space="preserve"> n’a pas pour effet de dépouiller ces règles de leur nature véritable, à savoir un « mode de procédure » « que la loi </w:t>
      </w:r>
      <w:proofErr w:type="spellStart"/>
      <w:r w:rsidRPr="000459A8">
        <w:rPr>
          <w:rFonts w:cs="Times New Roman"/>
          <w:szCs w:val="24"/>
          <w:lang w:val="fr-FR"/>
        </w:rPr>
        <w:t>prévoi</w:t>
      </w:r>
      <w:proofErr w:type="spellEnd"/>
      <w:r w:rsidRPr="000459A8">
        <w:rPr>
          <w:rFonts w:cs="Times New Roman"/>
          <w:szCs w:val="24"/>
          <w:lang w:val="fr-FR"/>
        </w:rPr>
        <w:t>[t] expressément ».  Comme l’a expliqué le juge </w:t>
      </w:r>
      <w:proofErr w:type="spellStart"/>
      <w:r w:rsidRPr="000459A8">
        <w:rPr>
          <w:rFonts w:cs="Times New Roman"/>
          <w:szCs w:val="24"/>
          <w:lang w:val="fr-FR"/>
        </w:rPr>
        <w:t>Estey</w:t>
      </w:r>
      <w:proofErr w:type="spellEnd"/>
      <w:r w:rsidRPr="000459A8">
        <w:rPr>
          <w:rFonts w:cs="Times New Roman"/>
          <w:szCs w:val="24"/>
          <w:lang w:val="fr-FR"/>
        </w:rPr>
        <w:t xml:space="preserve"> dans </w:t>
      </w:r>
      <w:r w:rsidRPr="000459A8">
        <w:rPr>
          <w:rFonts w:cs="Times New Roman"/>
          <w:i/>
          <w:szCs w:val="24"/>
          <w:lang w:val="fr-FR"/>
        </w:rPr>
        <w:t xml:space="preserve">R. c. </w:t>
      </w:r>
      <w:proofErr w:type="spellStart"/>
      <w:r w:rsidRPr="000459A8">
        <w:rPr>
          <w:rFonts w:cs="Times New Roman"/>
          <w:i/>
          <w:szCs w:val="24"/>
          <w:lang w:val="fr-FR"/>
        </w:rPr>
        <w:t>Clement</w:t>
      </w:r>
      <w:proofErr w:type="spellEnd"/>
      <w:r w:rsidRPr="000459A8">
        <w:rPr>
          <w:rFonts w:cs="Times New Roman"/>
          <w:szCs w:val="24"/>
          <w:lang w:val="fr-FR"/>
        </w:rPr>
        <w:t>, [1981] 2 R.C.S. 468, p. 477 :</w:t>
      </w:r>
    </w:p>
    <w:p w:rsidR="00765C6D" w:rsidRPr="000459A8" w:rsidRDefault="00765C6D" w:rsidP="00765C6D">
      <w:pPr>
        <w:pStyle w:val="Citation-AltC"/>
        <w:ind w:hanging="1166"/>
        <w:rPr>
          <w:szCs w:val="24"/>
          <w:lang w:val="fr-CA"/>
        </w:rPr>
      </w:pPr>
      <w:r w:rsidRPr="000459A8">
        <w:rPr>
          <w:szCs w:val="24"/>
          <w:lang w:val="fr-FR"/>
        </w:rPr>
        <w:tab/>
      </w:r>
      <w:r w:rsidR="00B94DEC" w:rsidRPr="000459A8">
        <w:rPr>
          <w:szCs w:val="24"/>
          <w:lang w:val="fr-FR"/>
        </w:rPr>
        <w:t xml:space="preserve">. . . </w:t>
      </w:r>
      <w:r w:rsidRPr="000459A8">
        <w:rPr>
          <w:szCs w:val="24"/>
          <w:lang w:val="fr-FR"/>
        </w:rPr>
        <w:t xml:space="preserve">les cours peuvent adopter des règles ou des procédures, mais cela se fait  [. . .] dans toutes les provinces de ce pays, par l’exercice du pouvoir quasi législatif d’adopter des règles accordé par la législature provinciale, ou du pouvoir que leur accorde l’art. 438 [maintenant l’art. 482] du </w:t>
      </w:r>
      <w:r w:rsidRPr="000459A8">
        <w:rPr>
          <w:i/>
          <w:szCs w:val="24"/>
          <w:lang w:val="fr-FR"/>
        </w:rPr>
        <w:t>Code criminel</w:t>
      </w:r>
      <w:r w:rsidRPr="000459A8">
        <w:rPr>
          <w:szCs w:val="24"/>
          <w:lang w:val="fr-FR"/>
        </w:rPr>
        <w:t xml:space="preserve">, précité, d’adopter des règles en matière de procédure criminelle.  </w:t>
      </w:r>
      <w:r w:rsidRPr="000459A8">
        <w:rPr>
          <w:szCs w:val="24"/>
          <w:u w:val="single"/>
          <w:lang w:val="fr-FR"/>
        </w:rPr>
        <w:t xml:space="preserve">Dans tous ces cas, les règles ainsi adoptées sont de nature législative et non pas des créations de la </w:t>
      </w:r>
      <w:proofErr w:type="spellStart"/>
      <w:r w:rsidRPr="00652F8F">
        <w:rPr>
          <w:i/>
          <w:szCs w:val="24"/>
          <w:u w:val="single"/>
          <w:lang w:val="fr-FR"/>
        </w:rPr>
        <w:t>common</w:t>
      </w:r>
      <w:proofErr w:type="spellEnd"/>
      <w:r w:rsidRPr="00652F8F">
        <w:rPr>
          <w:i/>
          <w:szCs w:val="24"/>
          <w:u w:val="single"/>
          <w:lang w:val="fr-FR"/>
        </w:rPr>
        <w:t xml:space="preserve"> </w:t>
      </w:r>
      <w:proofErr w:type="spellStart"/>
      <w:r w:rsidRPr="00652F8F">
        <w:rPr>
          <w:i/>
          <w:szCs w:val="24"/>
          <w:u w:val="single"/>
          <w:lang w:val="fr-FR"/>
        </w:rPr>
        <w:t>law</w:t>
      </w:r>
      <w:proofErr w:type="spellEnd"/>
      <w:r w:rsidRPr="000459A8">
        <w:rPr>
          <w:szCs w:val="24"/>
          <w:u w:val="single"/>
          <w:lang w:val="fr-FR"/>
        </w:rPr>
        <w:t>.</w:t>
      </w:r>
      <w:r w:rsidRPr="000459A8">
        <w:rPr>
          <w:i/>
          <w:szCs w:val="24"/>
          <w:lang w:val="fr-FR"/>
        </w:rPr>
        <w:t xml:space="preserve">  </w:t>
      </w:r>
      <w:r w:rsidRPr="000459A8">
        <w:rPr>
          <w:szCs w:val="24"/>
          <w:lang w:val="fr-CA"/>
        </w:rPr>
        <w:t xml:space="preserve">[Je souligne.] </w:t>
      </w:r>
    </w:p>
    <w:p w:rsidR="00765C6D" w:rsidRPr="000459A8" w:rsidRDefault="00765C6D" w:rsidP="00765C6D">
      <w:pPr>
        <w:pStyle w:val="ParaNoNdepar-AltN"/>
        <w:rPr>
          <w:rFonts w:cs="Times New Roman"/>
          <w:szCs w:val="24"/>
          <w:lang w:val="fr-FR"/>
        </w:rPr>
      </w:pPr>
      <w:r w:rsidRPr="000459A8">
        <w:rPr>
          <w:rFonts w:cs="Times New Roman"/>
          <w:szCs w:val="24"/>
          <w:lang w:val="fr-FR"/>
        </w:rPr>
        <w:t>Personne ne prétend que M</w:t>
      </w:r>
      <w:r w:rsidRPr="000459A8">
        <w:rPr>
          <w:rFonts w:cs="Times New Roman"/>
          <w:szCs w:val="24"/>
          <w:vertAlign w:val="superscript"/>
          <w:lang w:val="fr-FR"/>
        </w:rPr>
        <w:t>me</w:t>
      </w:r>
      <w:r w:rsidRPr="000459A8">
        <w:rPr>
          <w:rFonts w:cs="Times New Roman"/>
          <w:szCs w:val="24"/>
          <w:lang w:val="fr-FR"/>
        </w:rPr>
        <w:t xml:space="preserve"> Gibbons ne peut faire l’objet d’une ordonnance d’exécution ou des sanctions expressément prévues par ces règles en cas de refus d’obtempérer. </w:t>
      </w:r>
    </w:p>
    <w:p w:rsidR="00765C6D" w:rsidRPr="000459A8" w:rsidRDefault="00765C6D" w:rsidP="00765C6D">
      <w:pPr>
        <w:pStyle w:val="ParaNoNdepar-AltN"/>
        <w:rPr>
          <w:rFonts w:cs="Times New Roman"/>
          <w:szCs w:val="24"/>
          <w:lang w:val="fr-FR"/>
        </w:rPr>
      </w:pPr>
      <w:r w:rsidRPr="000459A8">
        <w:rPr>
          <w:rFonts w:cs="Times New Roman"/>
          <w:szCs w:val="24"/>
          <w:lang w:val="fr-FR"/>
        </w:rPr>
        <w:t>En outre, personne ne prétend ― ni ne saurait prétendre ― que M</w:t>
      </w:r>
      <w:r w:rsidRPr="000459A8">
        <w:rPr>
          <w:rFonts w:cs="Times New Roman"/>
          <w:szCs w:val="24"/>
          <w:vertAlign w:val="superscript"/>
          <w:lang w:val="fr-FR"/>
        </w:rPr>
        <w:t>me</w:t>
      </w:r>
      <w:r w:rsidRPr="000459A8">
        <w:rPr>
          <w:rFonts w:cs="Times New Roman"/>
          <w:szCs w:val="24"/>
          <w:lang w:val="fr-FR"/>
        </w:rPr>
        <w:t xml:space="preserve"> Gibbons est susceptible de poursuites fondées sur l’art. 127 du </w:t>
      </w:r>
      <w:r w:rsidRPr="000459A8">
        <w:rPr>
          <w:rFonts w:cs="Times New Roman"/>
          <w:i/>
          <w:szCs w:val="24"/>
          <w:lang w:val="fr-FR"/>
        </w:rPr>
        <w:t>Code criminel</w:t>
      </w:r>
      <w:r w:rsidRPr="000459A8">
        <w:rPr>
          <w:rFonts w:cs="Times New Roman"/>
          <w:szCs w:val="24"/>
          <w:lang w:val="fr-FR"/>
        </w:rPr>
        <w:t xml:space="preserve"> pour avoir désobéi à l’ordonnance judiciaire rendue contre elle en 1994 si, comme je le crois, « [les règles 60.11 et 60.12] </w:t>
      </w:r>
      <w:proofErr w:type="spellStart"/>
      <w:proofErr w:type="gramStart"/>
      <w:r w:rsidRPr="000459A8">
        <w:rPr>
          <w:rFonts w:cs="Times New Roman"/>
          <w:szCs w:val="24"/>
          <w:lang w:val="fr-FR"/>
        </w:rPr>
        <w:t>prévoi</w:t>
      </w:r>
      <w:proofErr w:type="spellEnd"/>
      <w:r w:rsidRPr="000459A8">
        <w:rPr>
          <w:rFonts w:cs="Times New Roman"/>
          <w:szCs w:val="24"/>
          <w:lang w:val="fr-FR"/>
        </w:rPr>
        <w:t>[</w:t>
      </w:r>
      <w:proofErr w:type="spellStart"/>
      <w:proofErr w:type="gramEnd"/>
      <w:r w:rsidRPr="000459A8">
        <w:rPr>
          <w:rFonts w:cs="Times New Roman"/>
          <w:szCs w:val="24"/>
          <w:lang w:val="fr-FR"/>
        </w:rPr>
        <w:t>ent</w:t>
      </w:r>
      <w:proofErr w:type="spellEnd"/>
      <w:r w:rsidRPr="000459A8">
        <w:rPr>
          <w:rFonts w:cs="Times New Roman"/>
          <w:szCs w:val="24"/>
          <w:lang w:val="fr-FR"/>
        </w:rPr>
        <w:t xml:space="preserve">] expressément une peine ou un autre mode de procédure ». </w:t>
      </w:r>
    </w:p>
    <w:p w:rsidR="00765C6D" w:rsidRPr="000459A8" w:rsidRDefault="00765C6D" w:rsidP="00765C6D">
      <w:pPr>
        <w:pStyle w:val="ParaNoNdepar-AltN"/>
        <w:rPr>
          <w:rFonts w:cs="Times New Roman"/>
          <w:szCs w:val="24"/>
          <w:lang w:val="fr-FR"/>
        </w:rPr>
      </w:pPr>
      <w:r w:rsidRPr="000459A8">
        <w:rPr>
          <w:rFonts w:cs="Times New Roman"/>
          <w:szCs w:val="24"/>
          <w:lang w:val="fr-FR"/>
        </w:rPr>
        <w:lastRenderedPageBreak/>
        <w:t>Par conséquent, avec égards pour ceux qui sont d’avis contraire, j’accueillerais le pourvoi et j’annulerais la dénonciation déposée contre M</w:t>
      </w:r>
      <w:r w:rsidRPr="000459A8">
        <w:rPr>
          <w:rFonts w:cs="Times New Roman"/>
          <w:szCs w:val="24"/>
          <w:vertAlign w:val="superscript"/>
          <w:lang w:val="fr-FR"/>
        </w:rPr>
        <w:t>me</w:t>
      </w:r>
      <w:r w:rsidRPr="000459A8">
        <w:rPr>
          <w:rFonts w:cs="Times New Roman"/>
          <w:szCs w:val="24"/>
          <w:lang w:val="fr-FR"/>
        </w:rPr>
        <w:t xml:space="preserve"> Gibbons en application de l’art. 127 du </w:t>
      </w:r>
      <w:r w:rsidRPr="000459A8">
        <w:rPr>
          <w:rFonts w:cs="Times New Roman"/>
          <w:i/>
          <w:szCs w:val="24"/>
          <w:lang w:val="fr-FR"/>
        </w:rPr>
        <w:t>Code criminel</w:t>
      </w:r>
      <w:r w:rsidRPr="000459A8">
        <w:rPr>
          <w:rFonts w:cs="Times New Roman"/>
          <w:szCs w:val="24"/>
          <w:lang w:val="fr-FR"/>
        </w:rPr>
        <w:t>.</w:t>
      </w:r>
    </w:p>
    <w:p w:rsidR="00765C6D" w:rsidRPr="000459A8" w:rsidRDefault="00765C6D" w:rsidP="00765C6D">
      <w:pPr>
        <w:pStyle w:val="TitleTitre-AltT"/>
        <w:jc w:val="center"/>
        <w:rPr>
          <w:rFonts w:cs="Times New Roman"/>
          <w:szCs w:val="24"/>
        </w:rPr>
      </w:pPr>
      <w:r w:rsidRPr="000459A8">
        <w:rPr>
          <w:rFonts w:cs="Times New Roman"/>
          <w:szCs w:val="24"/>
        </w:rPr>
        <w:t>II</w:t>
      </w:r>
    </w:p>
    <w:p w:rsidR="00765C6D" w:rsidRPr="000459A8" w:rsidRDefault="00765C6D" w:rsidP="00765C6D">
      <w:pPr>
        <w:pStyle w:val="ParaNoNdepar-AltN"/>
        <w:rPr>
          <w:rFonts w:cs="Times New Roman"/>
          <w:szCs w:val="24"/>
          <w:lang w:val="fr-FR"/>
        </w:rPr>
      </w:pPr>
      <w:r w:rsidRPr="000459A8">
        <w:rPr>
          <w:rFonts w:cs="Times New Roman"/>
          <w:szCs w:val="24"/>
          <w:lang w:val="fr-FR"/>
        </w:rPr>
        <w:t xml:space="preserve">Le ministère public soutient que l’issue du présent pourvoi est dictée par l’arrêt </w:t>
      </w:r>
      <w:r w:rsidR="00652F8F" w:rsidRPr="00652F8F">
        <w:rPr>
          <w:rFonts w:cs="Times New Roman"/>
          <w:i/>
          <w:szCs w:val="24"/>
          <w:lang w:val="fr-FR"/>
        </w:rPr>
        <w:t xml:space="preserve">R. c. </w:t>
      </w:r>
      <w:proofErr w:type="spellStart"/>
      <w:r w:rsidRPr="000459A8">
        <w:rPr>
          <w:rFonts w:cs="Times New Roman"/>
          <w:i/>
          <w:szCs w:val="24"/>
          <w:lang w:val="fr-FR"/>
        </w:rPr>
        <w:t>Clement</w:t>
      </w:r>
      <w:proofErr w:type="spellEnd"/>
      <w:r w:rsidRPr="000459A8">
        <w:rPr>
          <w:rFonts w:cs="Times New Roman"/>
          <w:szCs w:val="24"/>
          <w:lang w:val="fr-FR"/>
        </w:rPr>
        <w:t xml:space="preserve">.  Selon moi, </w:t>
      </w:r>
      <w:proofErr w:type="spellStart"/>
      <w:r w:rsidRPr="000459A8">
        <w:rPr>
          <w:rFonts w:cs="Times New Roman"/>
          <w:i/>
          <w:szCs w:val="24"/>
          <w:lang w:val="fr-FR"/>
        </w:rPr>
        <w:t>Clement</w:t>
      </w:r>
      <w:proofErr w:type="spellEnd"/>
      <w:r w:rsidRPr="000459A8">
        <w:rPr>
          <w:rFonts w:cs="Times New Roman"/>
          <w:szCs w:val="24"/>
          <w:lang w:val="fr-FR"/>
        </w:rPr>
        <w:t xml:space="preserve"> se distingue de la présente affaire.</w:t>
      </w:r>
    </w:p>
    <w:p w:rsidR="00765C6D" w:rsidRPr="000459A8" w:rsidRDefault="00765C6D" w:rsidP="00765C6D">
      <w:pPr>
        <w:pStyle w:val="ParaNoNdepar-AltN"/>
        <w:rPr>
          <w:rFonts w:cs="Times New Roman"/>
          <w:szCs w:val="24"/>
          <w:lang w:val="fr-FR"/>
        </w:rPr>
      </w:pPr>
      <w:r w:rsidRPr="000459A8">
        <w:rPr>
          <w:rFonts w:cs="Times New Roman"/>
          <w:szCs w:val="24"/>
          <w:lang w:val="fr-FR"/>
        </w:rPr>
        <w:t xml:space="preserve">L’arrêt </w:t>
      </w:r>
      <w:proofErr w:type="spellStart"/>
      <w:r w:rsidRPr="000459A8">
        <w:rPr>
          <w:rFonts w:cs="Times New Roman"/>
          <w:i/>
          <w:szCs w:val="24"/>
          <w:lang w:val="fr-FR"/>
        </w:rPr>
        <w:t>Clement</w:t>
      </w:r>
      <w:proofErr w:type="spellEnd"/>
      <w:r w:rsidRPr="000459A8">
        <w:rPr>
          <w:rFonts w:cs="Times New Roman"/>
          <w:i/>
          <w:szCs w:val="24"/>
          <w:lang w:val="fr-FR"/>
        </w:rPr>
        <w:t xml:space="preserve"> </w:t>
      </w:r>
      <w:r w:rsidRPr="000459A8">
        <w:rPr>
          <w:rFonts w:cs="Times New Roman"/>
          <w:szCs w:val="24"/>
          <w:lang w:val="fr-FR"/>
        </w:rPr>
        <w:t xml:space="preserve">portait sur les anciennes </w:t>
      </w:r>
      <w:r w:rsidRPr="000459A8">
        <w:rPr>
          <w:rFonts w:cs="Times New Roman"/>
          <w:i/>
          <w:szCs w:val="24"/>
          <w:lang w:val="fr-FR"/>
        </w:rPr>
        <w:t xml:space="preserve">Règles de la Cour du Banc de la Reine </w:t>
      </w:r>
      <w:r w:rsidRPr="000459A8">
        <w:rPr>
          <w:rFonts w:cs="Times New Roman"/>
          <w:szCs w:val="24"/>
          <w:lang w:val="fr-FR"/>
        </w:rPr>
        <w:t>du Manitoba (les « </w:t>
      </w:r>
      <w:r w:rsidRPr="000459A8">
        <w:rPr>
          <w:rFonts w:cs="Times New Roman"/>
          <w:i/>
          <w:szCs w:val="24"/>
          <w:lang w:val="fr-FR"/>
        </w:rPr>
        <w:t>Règles</w:t>
      </w:r>
      <w:r w:rsidRPr="000459A8">
        <w:rPr>
          <w:rFonts w:cs="Times New Roman"/>
          <w:szCs w:val="24"/>
          <w:lang w:val="fr-FR"/>
        </w:rPr>
        <w:t xml:space="preserve"> manitobaines »), lesquelles réaffirmaient simplement le pouvoir inhérent de la cour supérieure concernée de faire respecter ses propres procédures.  Contrairement aux règles qui nous intéressent en l’espèce, les </w:t>
      </w:r>
      <w:r w:rsidRPr="000459A8">
        <w:rPr>
          <w:rFonts w:cs="Times New Roman"/>
          <w:i/>
          <w:szCs w:val="24"/>
          <w:lang w:val="fr-FR"/>
        </w:rPr>
        <w:t>Règles</w:t>
      </w:r>
      <w:r w:rsidRPr="000459A8">
        <w:rPr>
          <w:rFonts w:cs="Times New Roman"/>
          <w:szCs w:val="24"/>
          <w:lang w:val="fr-FR"/>
        </w:rPr>
        <w:t xml:space="preserve"> manitobaines n’avaient pas créé expressément un autre mode de procédure permettant d’intervenir en cas de désobéissance à une ordonnance judiciaire.  L’on se tournait plutôt vers la </w:t>
      </w:r>
      <w:proofErr w:type="spellStart"/>
      <w:r w:rsidRPr="000459A8">
        <w:rPr>
          <w:rFonts w:cs="Times New Roman"/>
          <w:szCs w:val="24"/>
          <w:lang w:val="fr-FR"/>
        </w:rPr>
        <w:t>common</w:t>
      </w:r>
      <w:proofErr w:type="spellEnd"/>
      <w:r w:rsidRPr="000459A8">
        <w:rPr>
          <w:rFonts w:cs="Times New Roman"/>
          <w:szCs w:val="24"/>
          <w:lang w:val="fr-FR"/>
        </w:rPr>
        <w:t> </w:t>
      </w:r>
      <w:proofErr w:type="spellStart"/>
      <w:r w:rsidRPr="000459A8">
        <w:rPr>
          <w:rFonts w:cs="Times New Roman"/>
          <w:szCs w:val="24"/>
          <w:lang w:val="fr-FR"/>
        </w:rPr>
        <w:t>law</w:t>
      </w:r>
      <w:proofErr w:type="spellEnd"/>
      <w:r w:rsidRPr="000459A8">
        <w:rPr>
          <w:rFonts w:cs="Times New Roman"/>
          <w:szCs w:val="24"/>
          <w:lang w:val="fr-FR"/>
        </w:rPr>
        <w:t xml:space="preserve"> dans de tels cas. </w:t>
      </w:r>
    </w:p>
    <w:p w:rsidR="00765C6D" w:rsidRPr="000459A8" w:rsidRDefault="00765C6D" w:rsidP="00765C6D">
      <w:pPr>
        <w:pStyle w:val="ParaNoNdepar-AltN"/>
        <w:rPr>
          <w:rFonts w:cs="Times New Roman"/>
          <w:szCs w:val="24"/>
          <w:lang w:val="fr-FR"/>
        </w:rPr>
      </w:pPr>
      <w:r w:rsidRPr="000459A8">
        <w:rPr>
          <w:rFonts w:cs="Times New Roman"/>
          <w:szCs w:val="24"/>
          <w:lang w:val="fr-FR"/>
        </w:rPr>
        <w:t xml:space="preserve">Les règles pertinentes dans le présent pourvoi ne sont pas assorties des mêmes limites que les </w:t>
      </w:r>
      <w:r w:rsidRPr="000459A8">
        <w:rPr>
          <w:rFonts w:cs="Times New Roman"/>
          <w:i/>
          <w:szCs w:val="24"/>
          <w:lang w:val="fr-FR"/>
        </w:rPr>
        <w:t>Règles</w:t>
      </w:r>
      <w:r w:rsidRPr="000459A8">
        <w:rPr>
          <w:rFonts w:cs="Times New Roman"/>
          <w:szCs w:val="24"/>
          <w:lang w:val="fr-FR"/>
        </w:rPr>
        <w:t xml:space="preserve"> manitobaines.  À cet égard, je souscris aux explications suivantes, qu’a données le juge Watt au nom de la Cour d’appel :</w:t>
      </w:r>
    </w:p>
    <w:p w:rsidR="00765C6D" w:rsidRPr="000459A8" w:rsidRDefault="00765C6D" w:rsidP="0066466C">
      <w:pPr>
        <w:pStyle w:val="Citation-AltC"/>
        <w:tabs>
          <w:tab w:val="left" w:pos="1620"/>
        </w:tabs>
        <w:ind w:hanging="1166"/>
        <w:rPr>
          <w:szCs w:val="24"/>
          <w:lang w:val="fr-FR"/>
        </w:rPr>
      </w:pPr>
      <w:r w:rsidRPr="000459A8">
        <w:rPr>
          <w:szCs w:val="24"/>
          <w:lang w:val="fr-FR"/>
        </w:rPr>
        <w:tab/>
      </w:r>
      <w:r w:rsidR="009D63A4" w:rsidRPr="000459A8">
        <w:rPr>
          <w:szCs w:val="24"/>
          <w:lang w:val="fr-FR"/>
        </w:rPr>
        <w:tab/>
      </w:r>
      <w:r w:rsidRPr="000459A8">
        <w:rPr>
          <w:szCs w:val="24"/>
          <w:lang w:val="fr-FR"/>
        </w:rPr>
        <w:t>[</w:t>
      </w:r>
      <w:r w:rsidRPr="000459A8">
        <w:rPr>
          <w:smallCaps/>
          <w:szCs w:val="24"/>
          <w:lang w:val="fr-FR"/>
        </w:rPr>
        <w:t>traduction</w:t>
      </w:r>
      <w:r w:rsidRPr="000459A8">
        <w:rPr>
          <w:szCs w:val="24"/>
          <w:lang w:val="fr-FR"/>
        </w:rPr>
        <w:t xml:space="preserve">]  Les règles 60.11 et 60.12 constituent des dispositions beaucoup plus détaillées, précises et exhaustives </w:t>
      </w:r>
      <w:r w:rsidR="009D63A4" w:rsidRPr="000459A8">
        <w:rPr>
          <w:szCs w:val="24"/>
          <w:lang w:val="fr-FR"/>
        </w:rPr>
        <w:t>—</w:t>
      </w:r>
      <w:r w:rsidRPr="000459A8">
        <w:rPr>
          <w:szCs w:val="24"/>
          <w:lang w:val="fr-FR"/>
        </w:rPr>
        <w:t xml:space="preserve"> auxquelles peuvent recourir les parties désirant obtenir une ordonnance pour outrage </w:t>
      </w:r>
      <w:r w:rsidR="009D63A4" w:rsidRPr="000459A8">
        <w:rPr>
          <w:szCs w:val="24"/>
          <w:lang w:val="fr-FR"/>
        </w:rPr>
        <w:t>—</w:t>
      </w:r>
      <w:r w:rsidRPr="000459A8">
        <w:rPr>
          <w:szCs w:val="24"/>
          <w:lang w:val="fr-FR"/>
        </w:rPr>
        <w:t xml:space="preserve"> que </w:t>
      </w:r>
      <w:r w:rsidRPr="000459A8">
        <w:rPr>
          <w:szCs w:val="24"/>
          <w:lang w:val="fr-FR"/>
        </w:rPr>
        <w:lastRenderedPageBreak/>
        <w:t xml:space="preserve">celles des </w:t>
      </w:r>
      <w:r w:rsidRPr="000459A8">
        <w:rPr>
          <w:i/>
          <w:szCs w:val="24"/>
          <w:lang w:val="fr-FR"/>
        </w:rPr>
        <w:t>Règles de la Cour du Banc de la Reine</w:t>
      </w:r>
      <w:r w:rsidRPr="000459A8">
        <w:rPr>
          <w:szCs w:val="24"/>
          <w:lang w:val="fr-FR"/>
        </w:rPr>
        <w:t xml:space="preserve"> du Manitoba analysées dans </w:t>
      </w:r>
      <w:proofErr w:type="spellStart"/>
      <w:r w:rsidRPr="000459A8">
        <w:rPr>
          <w:i/>
          <w:szCs w:val="24"/>
          <w:lang w:val="fr-FR"/>
        </w:rPr>
        <w:t>Clement</w:t>
      </w:r>
      <w:proofErr w:type="spellEnd"/>
      <w:r w:rsidRPr="000459A8">
        <w:rPr>
          <w:szCs w:val="24"/>
          <w:lang w:val="fr-FR"/>
        </w:rPr>
        <w:t>.  [</w:t>
      </w:r>
      <w:proofErr w:type="gramStart"/>
      <w:r w:rsidRPr="000459A8">
        <w:rPr>
          <w:szCs w:val="24"/>
          <w:lang w:val="fr-FR"/>
        </w:rPr>
        <w:t>par</w:t>
      </w:r>
      <w:proofErr w:type="gramEnd"/>
      <w:r w:rsidRPr="000459A8">
        <w:rPr>
          <w:szCs w:val="24"/>
          <w:lang w:val="fr-FR"/>
        </w:rPr>
        <w:t>. 41]</w:t>
      </w:r>
    </w:p>
    <w:p w:rsidR="00765C6D" w:rsidRPr="000459A8" w:rsidRDefault="00765C6D" w:rsidP="00765C6D">
      <w:pPr>
        <w:pStyle w:val="ParaNoNdepar-AltN"/>
        <w:rPr>
          <w:rFonts w:cs="Times New Roman"/>
          <w:szCs w:val="24"/>
          <w:lang w:val="fr-FR"/>
        </w:rPr>
      </w:pPr>
      <w:r w:rsidRPr="000459A8">
        <w:rPr>
          <w:rFonts w:cs="Times New Roman"/>
          <w:szCs w:val="24"/>
          <w:lang w:val="fr-FR"/>
        </w:rPr>
        <w:t xml:space="preserve">Le mode de procédure prévu aux règles 60.11 et 60.12 y est décrit de manière </w:t>
      </w:r>
      <w:r w:rsidRPr="000459A8">
        <w:rPr>
          <w:rFonts w:cs="Times New Roman"/>
          <w:i/>
          <w:szCs w:val="24"/>
          <w:lang w:val="fr-FR"/>
        </w:rPr>
        <w:t>expresse</w:t>
      </w:r>
      <w:r w:rsidRPr="000459A8">
        <w:rPr>
          <w:rFonts w:cs="Times New Roman"/>
          <w:szCs w:val="24"/>
          <w:lang w:val="fr-FR"/>
        </w:rPr>
        <w:t xml:space="preserve"> — présentation d’une motion introductive d’instance, obligations à respecter en matière d’avis, affidavit devant être déposé à l’</w:t>
      </w:r>
      <w:r w:rsidR="0066466C" w:rsidRPr="000459A8">
        <w:rPr>
          <w:rFonts w:cs="Times New Roman"/>
          <w:szCs w:val="24"/>
          <w:lang w:val="fr-FR"/>
        </w:rPr>
        <w:t>appui de la motion, formules pre</w:t>
      </w:r>
      <w:r w:rsidRPr="000459A8">
        <w:rPr>
          <w:rFonts w:cs="Times New Roman"/>
          <w:szCs w:val="24"/>
          <w:lang w:val="fr-FR"/>
        </w:rPr>
        <w:t xml:space="preserve">scrites et pouvoirs du tribunal statuant sur de telles motions.  Il s’agit donc, je le répète, d’un mode de procédure </w:t>
      </w:r>
      <w:r w:rsidRPr="000459A8">
        <w:rPr>
          <w:rFonts w:cs="Times New Roman"/>
          <w:i/>
          <w:szCs w:val="24"/>
          <w:lang w:val="fr-FR"/>
        </w:rPr>
        <w:t>expressément prévu par la loi</w:t>
      </w:r>
      <w:r w:rsidRPr="000459A8">
        <w:rPr>
          <w:rFonts w:cs="Times New Roman"/>
          <w:szCs w:val="24"/>
          <w:lang w:val="fr-FR"/>
        </w:rPr>
        <w:t xml:space="preserve">, plus particulièrement par les </w:t>
      </w:r>
      <w:r w:rsidRPr="000459A8">
        <w:rPr>
          <w:rFonts w:cs="Times New Roman"/>
          <w:i/>
          <w:szCs w:val="24"/>
          <w:lang w:val="fr-FR"/>
        </w:rPr>
        <w:t>Règles de procédure civile</w:t>
      </w:r>
      <w:r w:rsidR="0066466C" w:rsidRPr="000459A8">
        <w:rPr>
          <w:rFonts w:cs="Times New Roman"/>
          <w:szCs w:val="24"/>
          <w:lang w:val="fr-FR"/>
        </w:rPr>
        <w:t xml:space="preserve">, qui </w:t>
      </w:r>
      <w:r w:rsidRPr="000459A8">
        <w:rPr>
          <w:rFonts w:cs="Times New Roman"/>
          <w:szCs w:val="24"/>
          <w:lang w:val="fr-FR"/>
        </w:rPr>
        <w:t xml:space="preserve">ont été promulguées en vertu de la </w:t>
      </w:r>
      <w:r w:rsidRPr="000459A8">
        <w:rPr>
          <w:rFonts w:cs="Times New Roman"/>
          <w:i/>
          <w:szCs w:val="24"/>
          <w:lang w:val="fr-FR"/>
        </w:rPr>
        <w:t>Loi sur les tribunaux judiciaires</w:t>
      </w:r>
      <w:r w:rsidRPr="000459A8">
        <w:rPr>
          <w:rFonts w:cs="Times New Roman"/>
          <w:szCs w:val="24"/>
          <w:lang w:val="fr-FR"/>
        </w:rPr>
        <w:t>, L.R.O. 1990, ch. C.43.</w:t>
      </w:r>
    </w:p>
    <w:p w:rsidR="00765C6D" w:rsidRPr="000459A8" w:rsidRDefault="00765C6D" w:rsidP="00765C6D">
      <w:pPr>
        <w:pStyle w:val="ParaNoNdepar-AltN"/>
        <w:rPr>
          <w:rFonts w:cs="Times New Roman"/>
          <w:szCs w:val="24"/>
          <w:lang w:val="fr-FR"/>
        </w:rPr>
      </w:pPr>
      <w:r w:rsidRPr="000459A8">
        <w:rPr>
          <w:rFonts w:cs="Times New Roman"/>
          <w:szCs w:val="24"/>
          <w:lang w:val="fr-FR"/>
        </w:rPr>
        <w:t xml:space="preserve">Selon moi, l’arrêt </w:t>
      </w:r>
      <w:proofErr w:type="spellStart"/>
      <w:r w:rsidRPr="000459A8">
        <w:rPr>
          <w:rFonts w:cs="Times New Roman"/>
          <w:i/>
          <w:szCs w:val="24"/>
          <w:lang w:val="fr-FR"/>
        </w:rPr>
        <w:t>Clement</w:t>
      </w:r>
      <w:proofErr w:type="spellEnd"/>
      <w:r w:rsidRPr="000459A8">
        <w:rPr>
          <w:rFonts w:cs="Times New Roman"/>
          <w:i/>
          <w:szCs w:val="24"/>
          <w:lang w:val="fr-FR"/>
        </w:rPr>
        <w:t xml:space="preserve"> </w:t>
      </w:r>
      <w:r w:rsidRPr="000459A8">
        <w:rPr>
          <w:rFonts w:cs="Times New Roman"/>
          <w:szCs w:val="24"/>
          <w:lang w:val="fr-FR"/>
        </w:rPr>
        <w:t xml:space="preserve">et l’art. 127 du </w:t>
      </w:r>
      <w:r w:rsidRPr="000459A8">
        <w:rPr>
          <w:rFonts w:cs="Times New Roman"/>
          <w:i/>
          <w:szCs w:val="24"/>
          <w:lang w:val="fr-FR"/>
        </w:rPr>
        <w:t xml:space="preserve">Code criminel </w:t>
      </w:r>
      <w:r w:rsidRPr="000459A8">
        <w:rPr>
          <w:rFonts w:cs="Times New Roman"/>
          <w:szCs w:val="24"/>
          <w:lang w:val="fr-FR"/>
        </w:rPr>
        <w:t xml:space="preserve">n’exigent rien de plus. </w:t>
      </w:r>
    </w:p>
    <w:p w:rsidR="00765C6D" w:rsidRPr="000459A8" w:rsidRDefault="00765C6D" w:rsidP="00765C6D">
      <w:pPr>
        <w:pStyle w:val="ParaNoNdepar-AltN"/>
        <w:rPr>
          <w:rFonts w:cs="Times New Roman"/>
          <w:szCs w:val="24"/>
          <w:lang w:val="fr-FR"/>
        </w:rPr>
      </w:pPr>
      <w:r w:rsidRPr="000459A8">
        <w:rPr>
          <w:rFonts w:cs="Times New Roman"/>
          <w:szCs w:val="24"/>
          <w:lang w:val="fr-FR"/>
        </w:rPr>
        <w:t xml:space="preserve">À l’instar du juge Watt de la Cour d’appel, la juge Deschamps conclut que les </w:t>
      </w:r>
      <w:r w:rsidRPr="000459A8">
        <w:rPr>
          <w:rFonts w:cs="Times New Roman"/>
          <w:i/>
          <w:szCs w:val="24"/>
          <w:lang w:val="fr-FR"/>
        </w:rPr>
        <w:t xml:space="preserve">Règles </w:t>
      </w:r>
      <w:r w:rsidRPr="000459A8">
        <w:rPr>
          <w:rFonts w:cs="Times New Roman"/>
          <w:szCs w:val="24"/>
          <w:lang w:val="fr-FR"/>
        </w:rPr>
        <w:t xml:space="preserve">ontariennes « n’établissent pas [. . .] le fondement légal d’une procédure pour outrage » et que le juge doit s’appuyer sur le « substrat de </w:t>
      </w:r>
      <w:proofErr w:type="spellStart"/>
      <w:r w:rsidRPr="000459A8">
        <w:rPr>
          <w:rFonts w:cs="Times New Roman"/>
          <w:szCs w:val="24"/>
          <w:lang w:val="fr-FR"/>
        </w:rPr>
        <w:t>common</w:t>
      </w:r>
      <w:proofErr w:type="spellEnd"/>
      <w:r w:rsidRPr="000459A8">
        <w:rPr>
          <w:rFonts w:cs="Times New Roman"/>
          <w:szCs w:val="24"/>
          <w:lang w:val="fr-FR"/>
        </w:rPr>
        <w:t xml:space="preserve"> </w:t>
      </w:r>
      <w:proofErr w:type="spellStart"/>
      <w:r w:rsidRPr="000459A8">
        <w:rPr>
          <w:rFonts w:cs="Times New Roman"/>
          <w:szCs w:val="24"/>
          <w:lang w:val="fr-FR"/>
        </w:rPr>
        <w:t>law</w:t>
      </w:r>
      <w:proofErr w:type="spellEnd"/>
      <w:r w:rsidRPr="000459A8">
        <w:rPr>
          <w:rFonts w:cs="Times New Roman"/>
          <w:szCs w:val="24"/>
          <w:lang w:val="fr-FR"/>
        </w:rPr>
        <w:t xml:space="preserve"> » pour rendre une ordonnance pour outrage (par. 14).  Selon ma collègue, les règles 60.11 et 60.12 ne font que circonscrire, comme le faisaient les </w:t>
      </w:r>
      <w:r w:rsidRPr="000459A8">
        <w:rPr>
          <w:rFonts w:cs="Times New Roman"/>
          <w:i/>
          <w:szCs w:val="24"/>
          <w:lang w:val="fr-FR"/>
        </w:rPr>
        <w:t>Règles</w:t>
      </w:r>
      <w:r w:rsidRPr="000459A8">
        <w:rPr>
          <w:rFonts w:cs="Times New Roman"/>
          <w:szCs w:val="24"/>
          <w:lang w:val="fr-FR"/>
        </w:rPr>
        <w:t xml:space="preserve"> manitobaines en litige dans </w:t>
      </w:r>
      <w:proofErr w:type="spellStart"/>
      <w:r w:rsidRPr="000459A8">
        <w:rPr>
          <w:rFonts w:cs="Times New Roman"/>
          <w:i/>
          <w:szCs w:val="24"/>
          <w:lang w:val="fr-FR"/>
        </w:rPr>
        <w:t>Clement</w:t>
      </w:r>
      <w:proofErr w:type="spellEnd"/>
      <w:r w:rsidRPr="000459A8">
        <w:rPr>
          <w:rFonts w:cs="Times New Roman"/>
          <w:szCs w:val="24"/>
          <w:lang w:val="fr-FR"/>
        </w:rPr>
        <w:t xml:space="preserve">, le pouvoir inhérent du juge de rendre des ordonnances quand il déclare une personne coupable d’outrage. </w:t>
      </w:r>
    </w:p>
    <w:p w:rsidR="00765C6D" w:rsidRPr="000459A8" w:rsidRDefault="00765C6D" w:rsidP="00765C6D">
      <w:pPr>
        <w:pStyle w:val="ParaNoNdepar-AltN"/>
        <w:rPr>
          <w:rFonts w:cs="Times New Roman"/>
          <w:szCs w:val="24"/>
          <w:lang w:val="fr-FR"/>
        </w:rPr>
      </w:pPr>
      <w:r w:rsidRPr="000459A8">
        <w:rPr>
          <w:rFonts w:cs="Times New Roman"/>
          <w:szCs w:val="24"/>
          <w:lang w:val="fr-FR"/>
        </w:rPr>
        <w:t>Avec égards, les règles 60.11 et 60.12 vont plus loin.</w:t>
      </w:r>
    </w:p>
    <w:p w:rsidR="00765C6D" w:rsidRPr="000459A8" w:rsidRDefault="00765C6D" w:rsidP="00765C6D">
      <w:pPr>
        <w:pStyle w:val="ParaNoNdepar-AltN"/>
        <w:rPr>
          <w:rFonts w:cs="Times New Roman"/>
          <w:szCs w:val="24"/>
          <w:lang w:val="fr-FR"/>
        </w:rPr>
      </w:pPr>
      <w:r w:rsidRPr="000459A8">
        <w:rPr>
          <w:rFonts w:cs="Times New Roman"/>
          <w:szCs w:val="24"/>
          <w:lang w:val="fr-FR"/>
        </w:rPr>
        <w:lastRenderedPageBreak/>
        <w:t xml:space="preserve">La règle 60.11(1) permet expressément au juge de rendre une ordonnance « qui vise à obtenir l’exécution forcée d’une ordonnance enjoignant à une personne de faire quelque chose, sauf de payer une somme d’argent, ou de s’abstenir de faire quelque chose ».  Cette règle, autorisée par une loi, constitue le fondement législatif de l’exécution forcée des ordonnances judiciaires.   </w:t>
      </w:r>
    </w:p>
    <w:p w:rsidR="00765C6D" w:rsidRPr="000459A8" w:rsidRDefault="00765C6D" w:rsidP="00765C6D">
      <w:pPr>
        <w:pStyle w:val="ParaNoNdepar-AltN"/>
        <w:rPr>
          <w:rFonts w:cs="Times New Roman"/>
          <w:szCs w:val="24"/>
          <w:lang w:val="fr-FR"/>
        </w:rPr>
      </w:pPr>
      <w:r w:rsidRPr="000459A8">
        <w:rPr>
          <w:rFonts w:cs="Times New Roman"/>
          <w:szCs w:val="24"/>
          <w:lang w:val="fr-FR"/>
        </w:rPr>
        <w:t xml:space="preserve">La règle 60.11(1) établit de manière détaillée le cadre procédural régissant l’obtention, le prononcé et l’exécution forcée des ordonnances qu’elle prévoit expressément.  Le pouvoir de rendre et d’exécuter une telle ordonnance découle de la promulgation de cette règle, et non des pouvoirs inhérents que les cours supérieures tiennent de la </w:t>
      </w:r>
      <w:proofErr w:type="spellStart"/>
      <w:r w:rsidRPr="000459A8">
        <w:rPr>
          <w:rFonts w:cs="Times New Roman"/>
          <w:szCs w:val="24"/>
          <w:lang w:val="fr-FR"/>
        </w:rPr>
        <w:t>common</w:t>
      </w:r>
      <w:proofErr w:type="spellEnd"/>
      <w:r w:rsidRPr="000459A8">
        <w:rPr>
          <w:rFonts w:cs="Times New Roman"/>
          <w:szCs w:val="24"/>
          <w:lang w:val="fr-FR"/>
        </w:rPr>
        <w:t xml:space="preserve"> </w:t>
      </w:r>
      <w:proofErr w:type="spellStart"/>
      <w:r w:rsidRPr="000459A8">
        <w:rPr>
          <w:rFonts w:cs="Times New Roman"/>
          <w:szCs w:val="24"/>
          <w:lang w:val="fr-FR"/>
        </w:rPr>
        <w:t>law</w:t>
      </w:r>
      <w:proofErr w:type="spellEnd"/>
      <w:r w:rsidRPr="000459A8">
        <w:rPr>
          <w:rFonts w:cs="Times New Roman"/>
          <w:szCs w:val="24"/>
          <w:lang w:val="fr-FR"/>
        </w:rPr>
        <w:t xml:space="preserve">.  Il en va de même pour les sanctions : elles sont expressément énoncées dans les règles pertinentes, et ni le pouvoir ni les sanctions ne dépendent des règles de </w:t>
      </w:r>
      <w:proofErr w:type="spellStart"/>
      <w:r w:rsidRPr="000459A8">
        <w:rPr>
          <w:rFonts w:cs="Times New Roman"/>
          <w:szCs w:val="24"/>
          <w:lang w:val="fr-FR"/>
        </w:rPr>
        <w:t>common</w:t>
      </w:r>
      <w:proofErr w:type="spellEnd"/>
      <w:r w:rsidRPr="000459A8">
        <w:rPr>
          <w:rFonts w:cs="Times New Roman"/>
          <w:szCs w:val="24"/>
          <w:lang w:val="fr-FR"/>
        </w:rPr>
        <w:t xml:space="preserve"> </w:t>
      </w:r>
      <w:proofErr w:type="spellStart"/>
      <w:r w:rsidRPr="000459A8">
        <w:rPr>
          <w:rFonts w:cs="Times New Roman"/>
          <w:szCs w:val="24"/>
          <w:lang w:val="fr-FR"/>
        </w:rPr>
        <w:t>law</w:t>
      </w:r>
      <w:proofErr w:type="spellEnd"/>
      <w:r w:rsidRPr="000459A8">
        <w:rPr>
          <w:rFonts w:cs="Times New Roman"/>
          <w:szCs w:val="24"/>
          <w:lang w:val="fr-FR"/>
        </w:rPr>
        <w:t xml:space="preserve"> régissant le refus d’obtempérer à une ordonnance judiciaire ou ne sont circonscrites par ces règles.  </w:t>
      </w:r>
    </w:p>
    <w:p w:rsidR="00765C6D" w:rsidRPr="000459A8" w:rsidRDefault="00765C6D" w:rsidP="00765C6D">
      <w:pPr>
        <w:pStyle w:val="ParaNoNdepar-AltN"/>
        <w:rPr>
          <w:rFonts w:cs="Times New Roman"/>
          <w:szCs w:val="24"/>
          <w:lang w:val="fr-FR"/>
        </w:rPr>
      </w:pPr>
      <w:r w:rsidRPr="000459A8">
        <w:rPr>
          <w:rFonts w:cs="Times New Roman"/>
          <w:szCs w:val="24"/>
          <w:lang w:val="fr-FR"/>
        </w:rPr>
        <w:t xml:space="preserve">Il ressort clairement du texte des règles 60.11 et 60.12 que </w:t>
      </w:r>
      <w:proofErr w:type="spellStart"/>
      <w:r w:rsidRPr="000459A8">
        <w:rPr>
          <w:rFonts w:cs="Times New Roman"/>
          <w:szCs w:val="24"/>
          <w:lang w:val="fr-FR"/>
        </w:rPr>
        <w:t>celles</w:t>
      </w:r>
      <w:r w:rsidRPr="000459A8">
        <w:rPr>
          <w:rFonts w:cs="Times New Roman"/>
          <w:szCs w:val="24"/>
          <w:lang w:val="fr-FR"/>
        </w:rPr>
        <w:noBreakHyphen/>
        <w:t>ci</w:t>
      </w:r>
      <w:proofErr w:type="spellEnd"/>
      <w:r w:rsidRPr="000459A8">
        <w:rPr>
          <w:rFonts w:cs="Times New Roman"/>
          <w:szCs w:val="24"/>
          <w:lang w:val="fr-FR"/>
        </w:rPr>
        <w:t xml:space="preserve"> prévoient expressément, dans un texte de loi, un « mode de procédure » détaillé, précis et complet à l’égard du refus d’obéir à une ordonnance judiciaire qu’on reproche à M</w:t>
      </w:r>
      <w:r w:rsidRPr="000459A8">
        <w:rPr>
          <w:rFonts w:cs="Times New Roman"/>
          <w:szCs w:val="24"/>
          <w:vertAlign w:val="superscript"/>
          <w:lang w:val="fr-FR"/>
        </w:rPr>
        <w:t>me</w:t>
      </w:r>
      <w:r w:rsidRPr="000459A8">
        <w:rPr>
          <w:rFonts w:cs="Times New Roman"/>
          <w:szCs w:val="24"/>
          <w:lang w:val="fr-FR"/>
        </w:rPr>
        <w:t> Gibbons :</w:t>
      </w:r>
    </w:p>
    <w:p w:rsidR="00765C6D" w:rsidRPr="000459A8" w:rsidRDefault="00765C6D" w:rsidP="0066466C">
      <w:pPr>
        <w:pStyle w:val="Citation-AltC"/>
        <w:tabs>
          <w:tab w:val="left" w:pos="1620"/>
        </w:tabs>
        <w:spacing w:after="240"/>
        <w:ind w:left="1168" w:hanging="1168"/>
        <w:contextualSpacing w:val="0"/>
        <w:rPr>
          <w:szCs w:val="24"/>
          <w:lang w:val="fr-FR"/>
        </w:rPr>
      </w:pPr>
      <w:r w:rsidRPr="000459A8">
        <w:rPr>
          <w:bCs/>
          <w:szCs w:val="24"/>
          <w:lang w:val="fr-FR"/>
        </w:rPr>
        <w:tab/>
      </w:r>
      <w:r w:rsidRPr="000459A8">
        <w:rPr>
          <w:bCs/>
          <w:szCs w:val="24"/>
          <w:lang w:val="fr-FR"/>
        </w:rPr>
        <w:tab/>
      </w:r>
      <w:r w:rsidRPr="000459A8">
        <w:rPr>
          <w:b/>
          <w:bCs/>
          <w:szCs w:val="24"/>
          <w:lang w:val="fr-FR"/>
        </w:rPr>
        <w:t>60.11</w:t>
      </w:r>
      <w:r w:rsidRPr="000459A8">
        <w:rPr>
          <w:szCs w:val="24"/>
          <w:lang w:val="fr-FR"/>
        </w:rPr>
        <w:t xml:space="preserve">  (1)  L’ordonnance pour outrage, qui vise à obtenir l’exécution forcée d’une ordonnance enjoignant à une personne de faire quelque chose, sauf de payer une somme d’argent, ou de s’abstenir de faire quelque chose, ne peut être rendue que sur motion présentée à un juge dans l’instance au cours de laquelle l’ordonnance a été rendue.  </w:t>
      </w:r>
      <w:bookmarkStart w:id="2" w:name="P6607_524937"/>
      <w:bookmarkStart w:id="3" w:name="s60p11s2"/>
      <w:bookmarkEnd w:id="2"/>
      <w:bookmarkEnd w:id="3"/>
    </w:p>
    <w:p w:rsidR="00765C6D" w:rsidRPr="000459A8" w:rsidRDefault="0066466C" w:rsidP="0066466C">
      <w:pPr>
        <w:pStyle w:val="Citation-AltC"/>
        <w:tabs>
          <w:tab w:val="left" w:pos="1620"/>
          <w:tab w:val="left" w:pos="2160"/>
        </w:tabs>
        <w:spacing w:after="240"/>
        <w:ind w:left="1168" w:hanging="1168"/>
        <w:contextualSpacing w:val="0"/>
        <w:rPr>
          <w:szCs w:val="24"/>
          <w:lang w:val="fr-FR"/>
        </w:rPr>
      </w:pPr>
      <w:r w:rsidRPr="000459A8">
        <w:rPr>
          <w:szCs w:val="24"/>
          <w:lang w:val="fr-FR"/>
        </w:rPr>
        <w:lastRenderedPageBreak/>
        <w:tab/>
      </w:r>
      <w:r w:rsidRPr="000459A8">
        <w:rPr>
          <w:szCs w:val="24"/>
          <w:lang w:val="fr-FR"/>
        </w:rPr>
        <w:tab/>
        <w:t>(2)</w:t>
      </w:r>
      <w:r w:rsidRPr="000459A8">
        <w:rPr>
          <w:szCs w:val="24"/>
          <w:lang w:val="fr-FR"/>
        </w:rPr>
        <w:tab/>
      </w:r>
      <w:r w:rsidR="00765C6D" w:rsidRPr="000459A8">
        <w:rPr>
          <w:szCs w:val="24"/>
          <w:lang w:val="fr-FR"/>
        </w:rPr>
        <w:t xml:space="preserve">Sauf ordonnance contraire du tribunal, l’avis de motion est signifié à la personne contre laquelle l’ordonnance pour outrage est demandée par voie de signification à personne uniquement.  </w:t>
      </w:r>
      <w:bookmarkStart w:id="4" w:name="P6608_525168"/>
      <w:bookmarkStart w:id="5" w:name="s60p11s3"/>
      <w:bookmarkEnd w:id="4"/>
      <w:bookmarkEnd w:id="5"/>
    </w:p>
    <w:p w:rsidR="00765C6D" w:rsidRPr="000459A8" w:rsidRDefault="0066466C" w:rsidP="0066466C">
      <w:pPr>
        <w:pStyle w:val="Citation-AltC"/>
        <w:tabs>
          <w:tab w:val="left" w:pos="1620"/>
          <w:tab w:val="left" w:pos="2160"/>
        </w:tabs>
        <w:spacing w:after="240"/>
        <w:ind w:left="1168" w:hanging="1168"/>
        <w:contextualSpacing w:val="0"/>
        <w:rPr>
          <w:szCs w:val="24"/>
          <w:lang w:val="fr-FR"/>
        </w:rPr>
      </w:pPr>
      <w:r w:rsidRPr="000459A8">
        <w:rPr>
          <w:szCs w:val="24"/>
          <w:lang w:val="fr-FR"/>
        </w:rPr>
        <w:tab/>
      </w:r>
      <w:r w:rsidRPr="000459A8">
        <w:rPr>
          <w:szCs w:val="24"/>
          <w:lang w:val="fr-FR"/>
        </w:rPr>
        <w:tab/>
        <w:t>(3)</w:t>
      </w:r>
      <w:r w:rsidRPr="000459A8">
        <w:rPr>
          <w:szCs w:val="24"/>
          <w:lang w:val="fr-FR"/>
        </w:rPr>
        <w:tab/>
      </w:r>
      <w:r w:rsidR="00765C6D" w:rsidRPr="000459A8">
        <w:rPr>
          <w:szCs w:val="24"/>
          <w:lang w:val="fr-FR"/>
        </w:rPr>
        <w:t>L’affidavit à l’appui d’une motion visant à obtenir une ordonnance pour outrage peut faire état des éléments que le déposant tient pour véridiques sur la foi de renseignements, s’il s’agit de faits qui ne sont pas contestés.  La source de ces renseignements et le fait que le déposant les tient pour véridiques doivent être précisés dans l’affidavit</w:t>
      </w:r>
      <w:bookmarkStart w:id="6" w:name="P6610_525506"/>
      <w:bookmarkStart w:id="7" w:name="s60p11s4"/>
      <w:bookmarkEnd w:id="6"/>
      <w:bookmarkEnd w:id="7"/>
      <w:r w:rsidR="00454B57" w:rsidRPr="000459A8">
        <w:rPr>
          <w:szCs w:val="24"/>
          <w:lang w:val="fr-FR"/>
        </w:rPr>
        <w:t>.</w:t>
      </w:r>
    </w:p>
    <w:p w:rsidR="00765C6D" w:rsidRPr="000459A8" w:rsidRDefault="0066466C" w:rsidP="0066466C">
      <w:pPr>
        <w:pStyle w:val="Citation-AltC"/>
        <w:tabs>
          <w:tab w:val="left" w:pos="1620"/>
          <w:tab w:val="left" w:pos="2160"/>
        </w:tabs>
        <w:spacing w:after="240"/>
        <w:ind w:left="1168" w:hanging="1168"/>
        <w:contextualSpacing w:val="0"/>
        <w:rPr>
          <w:szCs w:val="24"/>
          <w:lang w:val="fr-FR"/>
        </w:rPr>
      </w:pPr>
      <w:r w:rsidRPr="000459A8">
        <w:rPr>
          <w:szCs w:val="24"/>
          <w:lang w:val="fr-FR"/>
        </w:rPr>
        <w:tab/>
      </w:r>
      <w:r w:rsidRPr="000459A8">
        <w:rPr>
          <w:szCs w:val="24"/>
          <w:lang w:val="fr-FR"/>
        </w:rPr>
        <w:tab/>
        <w:t>(4)</w:t>
      </w:r>
      <w:r w:rsidRPr="000459A8">
        <w:rPr>
          <w:szCs w:val="24"/>
          <w:lang w:val="fr-FR"/>
        </w:rPr>
        <w:tab/>
      </w:r>
      <w:r w:rsidR="00765C6D" w:rsidRPr="000459A8">
        <w:rPr>
          <w:szCs w:val="24"/>
          <w:lang w:val="fr-FR"/>
        </w:rPr>
        <w:t xml:space="preserve">Le juge qui est d’avis que la présence à l’audience d’une personne contre laquelle une ordonnance pour outrage a été demandée est nécessaire dans l’intérêt de la justice et qui est d’avis que cette personne n’est pas disposée à s’y présenter de son plein gré peut décerner un mandat d’arrêt (formule 60K) contre elle.  </w:t>
      </w:r>
      <w:bookmarkStart w:id="8" w:name="P6612_525864"/>
      <w:bookmarkStart w:id="9" w:name="s60p11s5"/>
      <w:bookmarkEnd w:id="8"/>
      <w:bookmarkEnd w:id="9"/>
    </w:p>
    <w:p w:rsidR="00765C6D" w:rsidRPr="000459A8" w:rsidRDefault="0066466C" w:rsidP="0066466C">
      <w:pPr>
        <w:pStyle w:val="Citation-AltC"/>
        <w:tabs>
          <w:tab w:val="left" w:pos="1620"/>
          <w:tab w:val="left" w:pos="2160"/>
        </w:tabs>
        <w:spacing w:after="240"/>
        <w:ind w:left="1168" w:hanging="1168"/>
        <w:contextualSpacing w:val="0"/>
        <w:rPr>
          <w:szCs w:val="24"/>
          <w:lang w:val="fr-FR"/>
        </w:rPr>
      </w:pPr>
      <w:r w:rsidRPr="000459A8">
        <w:rPr>
          <w:szCs w:val="24"/>
          <w:lang w:val="fr-FR"/>
        </w:rPr>
        <w:tab/>
      </w:r>
      <w:r w:rsidRPr="000459A8">
        <w:rPr>
          <w:szCs w:val="24"/>
          <w:lang w:val="fr-FR"/>
        </w:rPr>
        <w:tab/>
        <w:t>(5)</w:t>
      </w:r>
      <w:r w:rsidRPr="000459A8">
        <w:rPr>
          <w:szCs w:val="24"/>
          <w:lang w:val="fr-FR"/>
        </w:rPr>
        <w:tab/>
      </w:r>
      <w:r w:rsidR="00765C6D" w:rsidRPr="000459A8">
        <w:rPr>
          <w:szCs w:val="24"/>
          <w:lang w:val="fr-FR"/>
        </w:rPr>
        <w:t xml:space="preserve">Dans sa décision sur la motion présentée en application du paragraphe (1), le juge peut rendre une ordonnance juste et, s’il conclut que la personne en cause est coupable d’outrage, il peut ordonner que la personne : </w:t>
      </w:r>
    </w:p>
    <w:p w:rsidR="00765C6D" w:rsidRPr="000459A8" w:rsidRDefault="00765C6D" w:rsidP="00CA2055">
      <w:pPr>
        <w:pStyle w:val="Citation-AltC"/>
        <w:tabs>
          <w:tab w:val="left" w:pos="1620"/>
          <w:tab w:val="left" w:pos="2160"/>
        </w:tabs>
        <w:spacing w:after="240"/>
        <w:ind w:left="2160" w:hanging="2250"/>
        <w:contextualSpacing w:val="0"/>
        <w:rPr>
          <w:szCs w:val="24"/>
          <w:lang w:val="fr-FR"/>
        </w:rPr>
      </w:pPr>
      <w:r w:rsidRPr="000459A8">
        <w:rPr>
          <w:szCs w:val="24"/>
          <w:lang w:val="fr-FR"/>
        </w:rPr>
        <w:tab/>
      </w:r>
      <w:r w:rsidR="0066466C" w:rsidRPr="000459A8">
        <w:rPr>
          <w:szCs w:val="24"/>
          <w:lang w:val="fr-FR"/>
        </w:rPr>
        <w:t>a)</w:t>
      </w:r>
      <w:r w:rsidR="0066466C" w:rsidRPr="000459A8">
        <w:rPr>
          <w:szCs w:val="24"/>
          <w:lang w:val="fr-FR"/>
        </w:rPr>
        <w:tab/>
      </w:r>
      <w:r w:rsidRPr="000459A8">
        <w:rPr>
          <w:szCs w:val="24"/>
          <w:lang w:val="fr-FR"/>
        </w:rPr>
        <w:t>soit incarcérée pour une période et à des conditions justes;</w:t>
      </w:r>
    </w:p>
    <w:p w:rsidR="00765C6D" w:rsidRPr="000459A8" w:rsidRDefault="0066466C" w:rsidP="00CA2055">
      <w:pPr>
        <w:pStyle w:val="Citation-AltC"/>
        <w:tabs>
          <w:tab w:val="left" w:pos="1620"/>
          <w:tab w:val="left" w:pos="2160"/>
        </w:tabs>
        <w:spacing w:after="240"/>
        <w:ind w:left="2160" w:hanging="2250"/>
        <w:contextualSpacing w:val="0"/>
        <w:rPr>
          <w:szCs w:val="24"/>
          <w:lang w:val="fr-FR"/>
        </w:rPr>
      </w:pPr>
      <w:r w:rsidRPr="000459A8">
        <w:rPr>
          <w:szCs w:val="24"/>
          <w:lang w:val="fr-FR"/>
        </w:rPr>
        <w:tab/>
        <w:t>b)</w:t>
      </w:r>
      <w:r w:rsidRPr="000459A8">
        <w:rPr>
          <w:szCs w:val="24"/>
          <w:lang w:val="fr-FR"/>
        </w:rPr>
        <w:tab/>
      </w:r>
      <w:r w:rsidR="00765C6D" w:rsidRPr="000459A8">
        <w:rPr>
          <w:szCs w:val="24"/>
          <w:lang w:val="fr-FR"/>
        </w:rPr>
        <w:t>soit incarcérée si elle ne se conforme pas à l’</w:t>
      </w:r>
      <w:r w:rsidRPr="000459A8">
        <w:rPr>
          <w:szCs w:val="24"/>
          <w:lang w:val="fr-FR"/>
        </w:rPr>
        <w:t xml:space="preserve">une des conditions de </w:t>
      </w:r>
      <w:r w:rsidR="00765C6D" w:rsidRPr="000459A8">
        <w:rPr>
          <w:szCs w:val="24"/>
          <w:lang w:val="fr-FR"/>
        </w:rPr>
        <w:t>l’ordonnance;</w:t>
      </w:r>
    </w:p>
    <w:p w:rsidR="00765C6D" w:rsidRPr="000459A8" w:rsidRDefault="00765C6D" w:rsidP="00CA2055">
      <w:pPr>
        <w:pStyle w:val="Citation-AltC"/>
        <w:tabs>
          <w:tab w:val="left" w:pos="1620"/>
          <w:tab w:val="left" w:pos="2160"/>
        </w:tabs>
        <w:spacing w:after="240"/>
        <w:ind w:left="2160" w:hanging="2250"/>
        <w:contextualSpacing w:val="0"/>
        <w:rPr>
          <w:szCs w:val="24"/>
          <w:lang w:val="fr-FR"/>
        </w:rPr>
      </w:pPr>
      <w:r w:rsidRPr="000459A8">
        <w:rPr>
          <w:szCs w:val="24"/>
          <w:lang w:val="fr-FR"/>
        </w:rPr>
        <w:tab/>
      </w:r>
      <w:r w:rsidR="0066466C" w:rsidRPr="000459A8">
        <w:rPr>
          <w:szCs w:val="24"/>
          <w:lang w:val="fr-FR"/>
        </w:rPr>
        <w:t>c)</w:t>
      </w:r>
      <w:r w:rsidR="0066466C" w:rsidRPr="000459A8">
        <w:rPr>
          <w:szCs w:val="24"/>
          <w:lang w:val="fr-FR"/>
        </w:rPr>
        <w:tab/>
      </w:r>
      <w:r w:rsidRPr="000459A8">
        <w:rPr>
          <w:szCs w:val="24"/>
          <w:lang w:val="fr-FR"/>
        </w:rPr>
        <w:t>paie une amende;</w:t>
      </w:r>
    </w:p>
    <w:p w:rsidR="00765C6D" w:rsidRPr="000459A8" w:rsidRDefault="00765C6D" w:rsidP="00CA2055">
      <w:pPr>
        <w:pStyle w:val="Citation-AltC"/>
        <w:tabs>
          <w:tab w:val="left" w:pos="1620"/>
          <w:tab w:val="left" w:pos="2160"/>
        </w:tabs>
        <w:spacing w:after="240"/>
        <w:ind w:left="2160" w:hanging="2250"/>
        <w:contextualSpacing w:val="0"/>
        <w:rPr>
          <w:szCs w:val="24"/>
          <w:lang w:val="fr-FR"/>
        </w:rPr>
      </w:pPr>
      <w:r w:rsidRPr="000459A8">
        <w:rPr>
          <w:szCs w:val="24"/>
          <w:lang w:val="fr-FR"/>
        </w:rPr>
        <w:tab/>
      </w:r>
      <w:r w:rsidR="0066466C" w:rsidRPr="000459A8">
        <w:rPr>
          <w:szCs w:val="24"/>
          <w:lang w:val="fr-FR"/>
        </w:rPr>
        <w:t>d)</w:t>
      </w:r>
      <w:r w:rsidR="0066466C" w:rsidRPr="000459A8">
        <w:rPr>
          <w:szCs w:val="24"/>
          <w:lang w:val="fr-FR"/>
        </w:rPr>
        <w:tab/>
      </w:r>
      <w:r w:rsidRPr="000459A8">
        <w:rPr>
          <w:szCs w:val="24"/>
          <w:lang w:val="fr-FR"/>
        </w:rPr>
        <w:t>fasse ou s’abstienne de faire quelque chose;</w:t>
      </w:r>
    </w:p>
    <w:p w:rsidR="00765C6D" w:rsidRPr="000459A8" w:rsidRDefault="00CA2055" w:rsidP="00CA2055">
      <w:pPr>
        <w:pStyle w:val="Citation-AltC"/>
        <w:tabs>
          <w:tab w:val="left" w:pos="1620"/>
          <w:tab w:val="left" w:pos="2160"/>
        </w:tabs>
        <w:spacing w:after="240"/>
        <w:ind w:left="2160" w:hanging="2250"/>
        <w:contextualSpacing w:val="0"/>
        <w:rPr>
          <w:szCs w:val="24"/>
          <w:lang w:val="fr-FR"/>
        </w:rPr>
      </w:pPr>
      <w:r w:rsidRPr="000459A8">
        <w:rPr>
          <w:szCs w:val="24"/>
          <w:lang w:val="fr-FR"/>
        </w:rPr>
        <w:tab/>
        <w:t>e)</w:t>
      </w:r>
      <w:r w:rsidRPr="000459A8">
        <w:rPr>
          <w:szCs w:val="24"/>
          <w:lang w:val="fr-FR"/>
        </w:rPr>
        <w:tab/>
      </w:r>
      <w:r w:rsidR="00765C6D" w:rsidRPr="000459A8">
        <w:rPr>
          <w:szCs w:val="24"/>
          <w:lang w:val="fr-FR"/>
        </w:rPr>
        <w:t xml:space="preserve">paie des dépens justes; </w:t>
      </w:r>
    </w:p>
    <w:p w:rsidR="00765C6D" w:rsidRPr="000459A8" w:rsidRDefault="00765C6D" w:rsidP="00CA2055">
      <w:pPr>
        <w:pStyle w:val="Citation-AltC"/>
        <w:tabs>
          <w:tab w:val="left" w:pos="1620"/>
          <w:tab w:val="left" w:pos="2160"/>
        </w:tabs>
        <w:spacing w:after="240"/>
        <w:ind w:left="2160" w:hanging="2250"/>
        <w:contextualSpacing w:val="0"/>
        <w:rPr>
          <w:szCs w:val="24"/>
          <w:lang w:val="fr-FR"/>
        </w:rPr>
      </w:pPr>
      <w:r w:rsidRPr="000459A8">
        <w:rPr>
          <w:szCs w:val="24"/>
          <w:lang w:val="fr-FR"/>
        </w:rPr>
        <w:tab/>
      </w:r>
      <w:r w:rsidR="0066466C" w:rsidRPr="000459A8">
        <w:rPr>
          <w:szCs w:val="24"/>
          <w:lang w:val="fr-FR"/>
        </w:rPr>
        <w:t>f)</w:t>
      </w:r>
      <w:r w:rsidR="0066466C" w:rsidRPr="000459A8">
        <w:rPr>
          <w:szCs w:val="24"/>
          <w:lang w:val="fr-FR"/>
        </w:rPr>
        <w:tab/>
      </w:r>
      <w:r w:rsidRPr="000459A8">
        <w:rPr>
          <w:szCs w:val="24"/>
          <w:lang w:val="fr-FR"/>
        </w:rPr>
        <w:t>se conforme à l’autre ordonnance que le juge estime nécessaire.</w:t>
      </w:r>
    </w:p>
    <w:p w:rsidR="00765C6D" w:rsidRPr="000459A8" w:rsidRDefault="00765C6D" w:rsidP="00765C6D">
      <w:pPr>
        <w:pStyle w:val="Citation-AltC"/>
        <w:spacing w:after="240"/>
        <w:ind w:left="1168" w:hanging="1168"/>
        <w:contextualSpacing w:val="0"/>
        <w:rPr>
          <w:szCs w:val="24"/>
          <w:lang w:val="fr-FR"/>
        </w:rPr>
      </w:pPr>
      <w:r w:rsidRPr="000459A8">
        <w:rPr>
          <w:szCs w:val="24"/>
          <w:lang w:val="fr-FR"/>
        </w:rPr>
        <w:tab/>
        <w:t xml:space="preserve">Il peut accorder l’autorisation de délivrer un bref de mise sous séquestre judiciaire des biens de cette personne en application de la règle 60.09. </w:t>
      </w:r>
      <w:bookmarkStart w:id="10" w:name="P6621_526504"/>
      <w:bookmarkStart w:id="11" w:name="s60p11s6"/>
      <w:bookmarkEnd w:id="10"/>
      <w:bookmarkEnd w:id="11"/>
    </w:p>
    <w:p w:rsidR="00765C6D" w:rsidRPr="000459A8" w:rsidRDefault="0066466C" w:rsidP="0066466C">
      <w:pPr>
        <w:pStyle w:val="Citation-AltC"/>
        <w:tabs>
          <w:tab w:val="left" w:pos="1620"/>
          <w:tab w:val="left" w:pos="2160"/>
        </w:tabs>
        <w:spacing w:after="240"/>
        <w:ind w:left="1168" w:hanging="1168"/>
        <w:contextualSpacing w:val="0"/>
        <w:rPr>
          <w:szCs w:val="24"/>
          <w:lang w:val="fr-FR"/>
        </w:rPr>
      </w:pPr>
      <w:r w:rsidRPr="000459A8">
        <w:rPr>
          <w:szCs w:val="24"/>
          <w:lang w:val="fr-FR"/>
        </w:rPr>
        <w:tab/>
      </w:r>
      <w:r w:rsidRPr="000459A8">
        <w:rPr>
          <w:szCs w:val="24"/>
          <w:lang w:val="fr-FR"/>
        </w:rPr>
        <w:tab/>
        <w:t>(6)</w:t>
      </w:r>
      <w:r w:rsidRPr="000459A8">
        <w:rPr>
          <w:szCs w:val="24"/>
          <w:lang w:val="fr-FR"/>
        </w:rPr>
        <w:tab/>
      </w:r>
      <w:r w:rsidR="00765C6D" w:rsidRPr="000459A8">
        <w:rPr>
          <w:szCs w:val="24"/>
          <w:lang w:val="fr-FR"/>
        </w:rPr>
        <w:t xml:space="preserve">Si une personne morale est reconnue coupable d’outrage, le juge peut aussi rendre une ordonnance en application du paragraphe (5) contre un dirigeant ou un administrateur de la personne morale.  Il peut accorder l’autorisation de délivrer un bref de mise sous séquestre judiciaire des biens de cette personne en application de la règle 60.09. </w:t>
      </w:r>
      <w:bookmarkStart w:id="12" w:name="P6623_526807"/>
      <w:bookmarkStart w:id="13" w:name="s60p11s7"/>
      <w:bookmarkEnd w:id="12"/>
      <w:bookmarkEnd w:id="13"/>
    </w:p>
    <w:p w:rsidR="00765C6D" w:rsidRPr="000459A8" w:rsidRDefault="0066466C" w:rsidP="0066466C">
      <w:pPr>
        <w:pStyle w:val="Citation-AltC"/>
        <w:tabs>
          <w:tab w:val="left" w:pos="1620"/>
          <w:tab w:val="left" w:pos="2160"/>
        </w:tabs>
        <w:spacing w:after="240"/>
        <w:ind w:left="1168" w:hanging="1168"/>
        <w:contextualSpacing w:val="0"/>
        <w:rPr>
          <w:szCs w:val="24"/>
          <w:lang w:val="fr-FR"/>
        </w:rPr>
      </w:pPr>
      <w:r w:rsidRPr="000459A8">
        <w:rPr>
          <w:szCs w:val="24"/>
          <w:lang w:val="fr-FR"/>
        </w:rPr>
        <w:tab/>
      </w:r>
      <w:r w:rsidRPr="000459A8">
        <w:rPr>
          <w:szCs w:val="24"/>
          <w:lang w:val="fr-FR"/>
        </w:rPr>
        <w:tab/>
        <w:t>(7)</w:t>
      </w:r>
      <w:r w:rsidRPr="000459A8">
        <w:rPr>
          <w:szCs w:val="24"/>
          <w:lang w:val="fr-FR"/>
        </w:rPr>
        <w:tab/>
      </w:r>
      <w:r w:rsidR="00765C6D" w:rsidRPr="000459A8">
        <w:rPr>
          <w:szCs w:val="24"/>
          <w:lang w:val="fr-FR"/>
        </w:rPr>
        <w:t xml:space="preserve">L’exécution forcée de l’ordonnance d’incarcération rendue en application du paragraphe (5) peut s’obtenir par la délivrance d’un mandat de dépôt (formule 60L). </w:t>
      </w:r>
      <w:bookmarkStart w:id="14" w:name="P6625_527007"/>
      <w:bookmarkStart w:id="15" w:name="s60p11s8"/>
      <w:bookmarkEnd w:id="14"/>
      <w:bookmarkEnd w:id="15"/>
    </w:p>
    <w:p w:rsidR="00765C6D" w:rsidRPr="000459A8" w:rsidRDefault="0066466C" w:rsidP="0066466C">
      <w:pPr>
        <w:pStyle w:val="Citation-AltC"/>
        <w:tabs>
          <w:tab w:val="left" w:pos="1620"/>
          <w:tab w:val="left" w:pos="2160"/>
        </w:tabs>
        <w:spacing w:after="240"/>
        <w:ind w:left="1168" w:hanging="1168"/>
        <w:contextualSpacing w:val="0"/>
        <w:rPr>
          <w:szCs w:val="24"/>
          <w:lang w:val="fr-FR"/>
        </w:rPr>
      </w:pPr>
      <w:r w:rsidRPr="000459A8">
        <w:rPr>
          <w:szCs w:val="24"/>
          <w:lang w:val="fr-FR"/>
        </w:rPr>
        <w:lastRenderedPageBreak/>
        <w:tab/>
      </w:r>
      <w:r w:rsidRPr="000459A8">
        <w:rPr>
          <w:szCs w:val="24"/>
          <w:lang w:val="fr-FR"/>
        </w:rPr>
        <w:tab/>
        <w:t>(8)</w:t>
      </w:r>
      <w:r w:rsidRPr="000459A8">
        <w:rPr>
          <w:szCs w:val="24"/>
          <w:lang w:val="fr-FR"/>
        </w:rPr>
        <w:tab/>
      </w:r>
      <w:r w:rsidR="00765C6D" w:rsidRPr="000459A8">
        <w:rPr>
          <w:szCs w:val="24"/>
          <w:lang w:val="fr-FR"/>
        </w:rPr>
        <w:t xml:space="preserve">Un juge peut, sur motion, modifier ou annuler une ordonnance rendue en application du paragraphe (5) ou (6), donner des directives qui s’y rapportent ou en donner mainlevée.  Il peut accorder une autre mesure de redressement et rendre l’ordonnance qu’il estime juste. </w:t>
      </w:r>
      <w:bookmarkStart w:id="16" w:name="P6627_527280"/>
      <w:bookmarkStart w:id="17" w:name="s60p11s9"/>
      <w:bookmarkEnd w:id="16"/>
      <w:bookmarkEnd w:id="17"/>
    </w:p>
    <w:p w:rsidR="00765C6D" w:rsidRPr="000459A8" w:rsidRDefault="0066466C" w:rsidP="0066466C">
      <w:pPr>
        <w:pStyle w:val="Citation-AltC"/>
        <w:tabs>
          <w:tab w:val="left" w:pos="1620"/>
          <w:tab w:val="left" w:pos="2160"/>
        </w:tabs>
        <w:spacing w:after="240"/>
        <w:ind w:left="1168" w:hanging="1168"/>
        <w:contextualSpacing w:val="0"/>
        <w:rPr>
          <w:szCs w:val="24"/>
          <w:lang w:val="fr-FR"/>
        </w:rPr>
      </w:pPr>
      <w:r w:rsidRPr="000459A8">
        <w:rPr>
          <w:szCs w:val="24"/>
          <w:lang w:val="fr-FR"/>
        </w:rPr>
        <w:tab/>
      </w:r>
      <w:r w:rsidRPr="000459A8">
        <w:rPr>
          <w:szCs w:val="24"/>
          <w:lang w:val="fr-FR"/>
        </w:rPr>
        <w:tab/>
        <w:t>(9)</w:t>
      </w:r>
      <w:r w:rsidRPr="000459A8">
        <w:rPr>
          <w:szCs w:val="24"/>
          <w:lang w:val="fr-FR"/>
        </w:rPr>
        <w:tab/>
      </w:r>
      <w:r w:rsidR="00765C6D" w:rsidRPr="000459A8">
        <w:rPr>
          <w:szCs w:val="24"/>
          <w:lang w:val="fr-FR"/>
        </w:rPr>
        <w:t xml:space="preserve">Si une personne ne se conforme pas à une ordonnance lui enjoignant de faire quelque chose, sauf de payer une somme d’argent, le juge peut, sur motion, au lieu ou en plus de rendre une ordonnance pour outrage, ordonner que la chose à faire le soit aux frais de la personne en défaut, par la partie qui exécute l’ordonnance ou par une autre personne désignée par le juge. </w:t>
      </w:r>
      <w:bookmarkStart w:id="18" w:name="P6628_527657"/>
      <w:bookmarkStart w:id="19" w:name="s60p11s10"/>
      <w:bookmarkEnd w:id="18"/>
      <w:bookmarkEnd w:id="19"/>
    </w:p>
    <w:p w:rsidR="00765C6D" w:rsidRPr="000459A8" w:rsidRDefault="0066466C" w:rsidP="0066466C">
      <w:pPr>
        <w:pStyle w:val="Citation-AltC"/>
        <w:tabs>
          <w:tab w:val="left" w:pos="1620"/>
          <w:tab w:val="left" w:pos="2160"/>
        </w:tabs>
        <w:spacing w:after="240"/>
        <w:ind w:left="1168" w:hanging="1168"/>
        <w:contextualSpacing w:val="0"/>
        <w:rPr>
          <w:szCs w:val="24"/>
          <w:lang w:val="fr-FR"/>
        </w:rPr>
      </w:pPr>
      <w:r w:rsidRPr="000459A8">
        <w:rPr>
          <w:szCs w:val="24"/>
          <w:lang w:val="fr-FR"/>
        </w:rPr>
        <w:tab/>
      </w:r>
      <w:r w:rsidRPr="000459A8">
        <w:rPr>
          <w:szCs w:val="24"/>
          <w:lang w:val="fr-FR"/>
        </w:rPr>
        <w:tab/>
        <w:t>(10)</w:t>
      </w:r>
      <w:r w:rsidRPr="000459A8">
        <w:rPr>
          <w:szCs w:val="24"/>
          <w:lang w:val="fr-FR"/>
        </w:rPr>
        <w:tab/>
      </w:r>
      <w:r w:rsidR="00765C6D" w:rsidRPr="000459A8">
        <w:rPr>
          <w:szCs w:val="24"/>
          <w:lang w:val="fr-FR"/>
        </w:rPr>
        <w:t xml:space="preserve">La partie qui exécute l’ordonnance ainsi que la personne désignée par le juge ont droit aux dépens de la motion présentée en application du paragraphe (9) et au remboursement des frais qu’elles ont engagés pour faire ce qu’il leur a été ordonné de faire, tels qu’ils ont été fixés par le juge ou liquidés par un liquidateur conformément à la Règle 58. </w:t>
      </w:r>
      <w:bookmarkStart w:id="20" w:name="P6630_528020"/>
      <w:bookmarkStart w:id="21" w:name="s60p12"/>
      <w:bookmarkEnd w:id="20"/>
      <w:bookmarkEnd w:id="21"/>
    </w:p>
    <w:p w:rsidR="00765C6D" w:rsidRPr="000459A8" w:rsidRDefault="00765C6D" w:rsidP="0066466C">
      <w:pPr>
        <w:pStyle w:val="Citation-AltC"/>
        <w:tabs>
          <w:tab w:val="left" w:pos="1620"/>
          <w:tab w:val="left" w:pos="2340"/>
        </w:tabs>
        <w:spacing w:after="240"/>
        <w:ind w:left="1168" w:hanging="1168"/>
        <w:contextualSpacing w:val="0"/>
        <w:rPr>
          <w:szCs w:val="24"/>
          <w:lang w:val="fr-FR"/>
        </w:rPr>
      </w:pPr>
      <w:r w:rsidRPr="000459A8">
        <w:rPr>
          <w:bCs/>
          <w:szCs w:val="24"/>
          <w:lang w:val="fr-FR"/>
        </w:rPr>
        <w:tab/>
      </w:r>
      <w:r w:rsidRPr="000459A8">
        <w:rPr>
          <w:bCs/>
          <w:szCs w:val="24"/>
          <w:lang w:val="fr-FR"/>
        </w:rPr>
        <w:tab/>
      </w:r>
      <w:r w:rsidRPr="000459A8">
        <w:rPr>
          <w:b/>
          <w:bCs/>
          <w:szCs w:val="24"/>
          <w:lang w:val="fr-FR"/>
        </w:rPr>
        <w:t>60.1</w:t>
      </w:r>
      <w:r w:rsidR="0066466C" w:rsidRPr="000459A8">
        <w:rPr>
          <w:b/>
          <w:bCs/>
          <w:szCs w:val="24"/>
          <w:lang w:val="fr-FR"/>
        </w:rPr>
        <w:t>2</w:t>
      </w:r>
      <w:r w:rsidR="0066466C" w:rsidRPr="000459A8">
        <w:rPr>
          <w:b/>
          <w:bCs/>
          <w:szCs w:val="24"/>
          <w:lang w:val="fr-FR"/>
        </w:rPr>
        <w:tab/>
      </w:r>
      <w:r w:rsidRPr="000459A8">
        <w:rPr>
          <w:szCs w:val="24"/>
          <w:lang w:val="fr-FR"/>
        </w:rPr>
        <w:t xml:space="preserve">Si une partie ne se conforme pas à une ordonnance interlocutoire, le tribunal peut, en plus des autres sanctions prévues aux présentes règles : </w:t>
      </w:r>
    </w:p>
    <w:p w:rsidR="00765C6D" w:rsidRPr="000459A8" w:rsidRDefault="00765C6D" w:rsidP="00CA2055">
      <w:pPr>
        <w:pStyle w:val="Citation-AltC"/>
        <w:tabs>
          <w:tab w:val="left" w:pos="1620"/>
          <w:tab w:val="left" w:pos="2160"/>
        </w:tabs>
        <w:spacing w:after="240"/>
        <w:ind w:left="2160" w:hanging="2250"/>
        <w:contextualSpacing w:val="0"/>
        <w:rPr>
          <w:szCs w:val="24"/>
          <w:lang w:val="fr-FR"/>
        </w:rPr>
      </w:pPr>
      <w:r w:rsidRPr="000459A8">
        <w:rPr>
          <w:szCs w:val="24"/>
          <w:lang w:val="fr-FR"/>
        </w:rPr>
        <w:tab/>
      </w:r>
      <w:r w:rsidR="0066466C" w:rsidRPr="000459A8">
        <w:rPr>
          <w:szCs w:val="24"/>
          <w:lang w:val="fr-FR"/>
        </w:rPr>
        <w:t>a)</w:t>
      </w:r>
      <w:r w:rsidR="0066466C" w:rsidRPr="000459A8">
        <w:rPr>
          <w:szCs w:val="24"/>
          <w:lang w:val="fr-FR"/>
        </w:rPr>
        <w:tab/>
      </w:r>
      <w:r w:rsidRPr="000459A8">
        <w:rPr>
          <w:szCs w:val="24"/>
          <w:lang w:val="fr-FR"/>
        </w:rPr>
        <w:t>surseoir à l’instance introduite par la partie;</w:t>
      </w:r>
    </w:p>
    <w:p w:rsidR="00765C6D" w:rsidRPr="000459A8" w:rsidRDefault="00765C6D" w:rsidP="00CA2055">
      <w:pPr>
        <w:pStyle w:val="Citation-AltC"/>
        <w:tabs>
          <w:tab w:val="left" w:pos="1620"/>
          <w:tab w:val="left" w:pos="2160"/>
        </w:tabs>
        <w:spacing w:after="240"/>
        <w:ind w:left="2160" w:hanging="2250"/>
        <w:contextualSpacing w:val="0"/>
        <w:rPr>
          <w:szCs w:val="24"/>
          <w:lang w:val="fr-FR"/>
        </w:rPr>
      </w:pPr>
      <w:r w:rsidRPr="000459A8">
        <w:rPr>
          <w:szCs w:val="24"/>
          <w:lang w:val="fr-FR"/>
        </w:rPr>
        <w:tab/>
      </w:r>
      <w:r w:rsidR="0066466C" w:rsidRPr="000459A8">
        <w:rPr>
          <w:szCs w:val="24"/>
          <w:lang w:val="fr-FR"/>
        </w:rPr>
        <w:t>b)</w:t>
      </w:r>
      <w:r w:rsidR="0066466C" w:rsidRPr="000459A8">
        <w:rPr>
          <w:szCs w:val="24"/>
          <w:lang w:val="fr-FR"/>
        </w:rPr>
        <w:tab/>
      </w:r>
      <w:r w:rsidRPr="000459A8">
        <w:rPr>
          <w:szCs w:val="24"/>
          <w:lang w:val="fr-FR"/>
        </w:rPr>
        <w:t xml:space="preserve">rejeter l’instance introduite par la partie ou radier sa défense; </w:t>
      </w:r>
    </w:p>
    <w:p w:rsidR="00765C6D" w:rsidRPr="000459A8" w:rsidRDefault="0066466C" w:rsidP="00CA2055">
      <w:pPr>
        <w:pStyle w:val="Citation-AltC"/>
        <w:tabs>
          <w:tab w:val="left" w:pos="1620"/>
          <w:tab w:val="left" w:pos="2160"/>
        </w:tabs>
        <w:spacing w:after="240"/>
        <w:ind w:left="2160" w:hanging="2250"/>
        <w:contextualSpacing w:val="0"/>
        <w:rPr>
          <w:szCs w:val="24"/>
          <w:lang w:val="fr-FR"/>
        </w:rPr>
      </w:pPr>
      <w:r w:rsidRPr="000459A8">
        <w:rPr>
          <w:szCs w:val="24"/>
          <w:lang w:val="fr-FR"/>
        </w:rPr>
        <w:tab/>
        <w:t>c)</w:t>
      </w:r>
      <w:r w:rsidRPr="000459A8">
        <w:rPr>
          <w:szCs w:val="24"/>
          <w:lang w:val="fr-FR"/>
        </w:rPr>
        <w:tab/>
      </w:r>
      <w:r w:rsidR="00765C6D" w:rsidRPr="000459A8">
        <w:rPr>
          <w:szCs w:val="24"/>
          <w:lang w:val="fr-FR"/>
        </w:rPr>
        <w:t xml:space="preserve">rendre une ordonnance juste. </w:t>
      </w:r>
    </w:p>
    <w:p w:rsidR="00765C6D" w:rsidRPr="000459A8" w:rsidRDefault="00765C6D" w:rsidP="00765C6D">
      <w:pPr>
        <w:pStyle w:val="ParaNoNdepar-AltN"/>
        <w:rPr>
          <w:rFonts w:cs="Times New Roman"/>
          <w:szCs w:val="24"/>
          <w:lang w:val="fr-FR"/>
        </w:rPr>
      </w:pPr>
      <w:r w:rsidRPr="000459A8">
        <w:rPr>
          <w:rFonts w:cs="Times New Roman"/>
          <w:szCs w:val="24"/>
          <w:lang w:val="fr-FR"/>
        </w:rPr>
        <w:t xml:space="preserve">De toute évidence, ce régime législatif n’est aucunement analogue aux règles qui étaient examinées dans </w:t>
      </w:r>
      <w:proofErr w:type="spellStart"/>
      <w:r w:rsidRPr="000459A8">
        <w:rPr>
          <w:rFonts w:cs="Times New Roman"/>
          <w:i/>
          <w:szCs w:val="24"/>
          <w:lang w:val="fr-FR"/>
        </w:rPr>
        <w:t>Clement</w:t>
      </w:r>
      <w:proofErr w:type="spellEnd"/>
      <w:r w:rsidRPr="000459A8">
        <w:rPr>
          <w:rFonts w:cs="Times New Roman"/>
          <w:szCs w:val="24"/>
          <w:lang w:val="fr-FR"/>
        </w:rPr>
        <w:t xml:space="preserve">.  Les règles 60.11 et 60.12 ne font pas que reconnaître ou préserver la </w:t>
      </w:r>
      <w:proofErr w:type="spellStart"/>
      <w:r w:rsidRPr="000459A8">
        <w:rPr>
          <w:rFonts w:cs="Times New Roman"/>
          <w:szCs w:val="24"/>
          <w:lang w:val="fr-FR"/>
        </w:rPr>
        <w:t>common</w:t>
      </w:r>
      <w:proofErr w:type="spellEnd"/>
      <w:r w:rsidRPr="000459A8">
        <w:rPr>
          <w:rFonts w:cs="Times New Roman"/>
          <w:szCs w:val="24"/>
          <w:lang w:val="fr-FR"/>
        </w:rPr>
        <w:t xml:space="preserve"> </w:t>
      </w:r>
      <w:proofErr w:type="spellStart"/>
      <w:r w:rsidRPr="000459A8">
        <w:rPr>
          <w:rFonts w:cs="Times New Roman"/>
          <w:szCs w:val="24"/>
          <w:lang w:val="fr-FR"/>
        </w:rPr>
        <w:t>law</w:t>
      </w:r>
      <w:proofErr w:type="spellEnd"/>
      <w:r w:rsidRPr="000459A8">
        <w:rPr>
          <w:rFonts w:cs="Times New Roman"/>
          <w:szCs w:val="24"/>
          <w:lang w:val="fr-FR"/>
        </w:rPr>
        <w:t xml:space="preserve">.  Au contraire, elles établissent un mode de procédure exprès, assorti de pouvoirs judiciaires explicites.  L’exception énoncée à l’art. 127 du </w:t>
      </w:r>
      <w:r w:rsidRPr="000459A8">
        <w:rPr>
          <w:rFonts w:cs="Times New Roman"/>
          <w:i/>
          <w:szCs w:val="24"/>
          <w:lang w:val="fr-FR"/>
        </w:rPr>
        <w:t xml:space="preserve">Code criminel </w:t>
      </w:r>
      <w:r w:rsidRPr="000459A8">
        <w:rPr>
          <w:rFonts w:cs="Times New Roman"/>
          <w:szCs w:val="24"/>
          <w:lang w:val="fr-FR"/>
        </w:rPr>
        <w:t xml:space="preserve">n’exige rien de plus. </w:t>
      </w:r>
    </w:p>
    <w:p w:rsidR="00765C6D" w:rsidRPr="000459A8" w:rsidRDefault="00765C6D" w:rsidP="00765C6D">
      <w:pPr>
        <w:pStyle w:val="ParaNoNdepar-AltN"/>
        <w:rPr>
          <w:rFonts w:cs="Times New Roman"/>
          <w:szCs w:val="24"/>
          <w:lang w:val="fr-FR"/>
        </w:rPr>
      </w:pPr>
      <w:r w:rsidRPr="000459A8">
        <w:rPr>
          <w:rFonts w:cs="Times New Roman"/>
          <w:szCs w:val="24"/>
          <w:lang w:val="fr-FR"/>
        </w:rPr>
        <w:t xml:space="preserve">Contrairement aux anciennes </w:t>
      </w:r>
      <w:r w:rsidRPr="000459A8">
        <w:rPr>
          <w:rFonts w:cs="Times New Roman"/>
          <w:i/>
          <w:szCs w:val="24"/>
          <w:lang w:val="fr-FR"/>
        </w:rPr>
        <w:t>Règles</w:t>
      </w:r>
      <w:r w:rsidRPr="000459A8">
        <w:rPr>
          <w:rFonts w:cs="Times New Roman"/>
          <w:szCs w:val="24"/>
          <w:lang w:val="fr-FR"/>
        </w:rPr>
        <w:t xml:space="preserve"> manitobaines, les </w:t>
      </w:r>
      <w:r w:rsidRPr="000459A8">
        <w:rPr>
          <w:rFonts w:cs="Times New Roman"/>
          <w:i/>
          <w:szCs w:val="24"/>
          <w:lang w:val="fr-FR"/>
        </w:rPr>
        <w:t>Règles</w:t>
      </w:r>
      <w:r w:rsidRPr="000459A8">
        <w:rPr>
          <w:rFonts w:cs="Times New Roman"/>
          <w:szCs w:val="24"/>
          <w:lang w:val="fr-FR"/>
        </w:rPr>
        <w:t xml:space="preserve"> ontariennes prévoient </w:t>
      </w:r>
      <w:r w:rsidRPr="000459A8">
        <w:rPr>
          <w:rFonts w:cs="Times New Roman"/>
          <w:i/>
          <w:szCs w:val="24"/>
          <w:lang w:val="fr-FR"/>
        </w:rPr>
        <w:t>effectivement</w:t>
      </w:r>
      <w:r w:rsidRPr="000459A8">
        <w:rPr>
          <w:rFonts w:cs="Times New Roman"/>
          <w:szCs w:val="24"/>
          <w:lang w:val="fr-FR"/>
        </w:rPr>
        <w:t xml:space="preserve"> un mode de procédure de nature législative.  De plus, </w:t>
      </w:r>
      <w:r w:rsidRPr="000459A8">
        <w:rPr>
          <w:rFonts w:cs="Times New Roman"/>
          <w:szCs w:val="24"/>
          <w:lang w:val="fr-FR"/>
        </w:rPr>
        <w:lastRenderedPageBreak/>
        <w:t xml:space="preserve">contrairement à la procédure prévue par les anciennes </w:t>
      </w:r>
      <w:r w:rsidRPr="000459A8">
        <w:rPr>
          <w:rFonts w:cs="Times New Roman"/>
          <w:i/>
          <w:szCs w:val="24"/>
          <w:lang w:val="fr-FR"/>
        </w:rPr>
        <w:t>Règles</w:t>
      </w:r>
      <w:r w:rsidRPr="000459A8">
        <w:rPr>
          <w:rFonts w:cs="Times New Roman"/>
          <w:szCs w:val="24"/>
          <w:lang w:val="fr-FR"/>
        </w:rPr>
        <w:t xml:space="preserve"> manitobaines, celle prescrite par les </w:t>
      </w:r>
      <w:r w:rsidRPr="000459A8">
        <w:rPr>
          <w:rFonts w:cs="Times New Roman"/>
          <w:i/>
          <w:szCs w:val="24"/>
          <w:lang w:val="fr-FR"/>
        </w:rPr>
        <w:t>Règles de procédure civile</w:t>
      </w:r>
      <w:r w:rsidRPr="000459A8">
        <w:rPr>
          <w:rFonts w:cs="Times New Roman"/>
          <w:szCs w:val="24"/>
          <w:lang w:val="fr-FR"/>
        </w:rPr>
        <w:t xml:space="preserve"> </w:t>
      </w:r>
      <w:r w:rsidRPr="000459A8">
        <w:rPr>
          <w:rFonts w:cs="Times New Roman"/>
          <w:i/>
          <w:szCs w:val="24"/>
          <w:lang w:val="fr-FR"/>
        </w:rPr>
        <w:t>ne</w:t>
      </w:r>
      <w:r w:rsidRPr="000459A8">
        <w:rPr>
          <w:rFonts w:cs="Times New Roman"/>
          <w:szCs w:val="24"/>
          <w:lang w:val="fr-FR"/>
        </w:rPr>
        <w:t xml:space="preserve"> « variera [</w:t>
      </w:r>
      <w:r w:rsidRPr="000459A8">
        <w:rPr>
          <w:rFonts w:cs="Times New Roman"/>
          <w:i/>
          <w:szCs w:val="24"/>
          <w:lang w:val="fr-FR"/>
        </w:rPr>
        <w:t>pas</w:t>
      </w:r>
      <w:r w:rsidRPr="000459A8">
        <w:rPr>
          <w:rFonts w:cs="Times New Roman"/>
          <w:szCs w:val="24"/>
          <w:lang w:val="fr-FR"/>
        </w:rPr>
        <w:t>] suivant la cour et [. . .] suivant les circonstances » (</w:t>
      </w:r>
      <w:proofErr w:type="spellStart"/>
      <w:r w:rsidRPr="000459A8">
        <w:rPr>
          <w:rFonts w:cs="Times New Roman"/>
          <w:i/>
          <w:szCs w:val="24"/>
          <w:lang w:val="fr-FR"/>
        </w:rPr>
        <w:t>Clement</w:t>
      </w:r>
      <w:proofErr w:type="spellEnd"/>
      <w:r w:rsidRPr="000459A8">
        <w:rPr>
          <w:rFonts w:cs="Times New Roman"/>
          <w:szCs w:val="24"/>
          <w:lang w:val="fr-FR"/>
        </w:rPr>
        <w:t xml:space="preserve">, p. 476).  Les règles 60.11 et 60.12 vont </w:t>
      </w:r>
      <w:proofErr w:type="spellStart"/>
      <w:r w:rsidRPr="000459A8">
        <w:rPr>
          <w:rFonts w:cs="Times New Roman"/>
          <w:szCs w:val="24"/>
          <w:lang w:val="fr-FR"/>
        </w:rPr>
        <w:t>au</w:t>
      </w:r>
      <w:r w:rsidRPr="000459A8">
        <w:rPr>
          <w:rFonts w:cs="Times New Roman"/>
          <w:szCs w:val="24"/>
          <w:lang w:val="fr-FR"/>
        </w:rPr>
        <w:noBreakHyphen/>
        <w:t>delà</w:t>
      </w:r>
      <w:proofErr w:type="spellEnd"/>
      <w:r w:rsidRPr="000459A8">
        <w:rPr>
          <w:rFonts w:cs="Times New Roman"/>
          <w:szCs w:val="24"/>
          <w:lang w:val="fr-FR"/>
        </w:rPr>
        <w:t xml:space="preserve"> des règles de </w:t>
      </w:r>
      <w:proofErr w:type="spellStart"/>
      <w:r w:rsidRPr="000459A8">
        <w:rPr>
          <w:rFonts w:cs="Times New Roman"/>
          <w:szCs w:val="24"/>
          <w:lang w:val="fr-FR"/>
        </w:rPr>
        <w:t>common</w:t>
      </w:r>
      <w:proofErr w:type="spellEnd"/>
      <w:r w:rsidRPr="000459A8">
        <w:rPr>
          <w:rFonts w:cs="Times New Roman"/>
          <w:szCs w:val="24"/>
          <w:lang w:val="fr-FR"/>
        </w:rPr>
        <w:t xml:space="preserve"> </w:t>
      </w:r>
      <w:proofErr w:type="spellStart"/>
      <w:r w:rsidRPr="000459A8">
        <w:rPr>
          <w:rFonts w:cs="Times New Roman"/>
          <w:szCs w:val="24"/>
          <w:lang w:val="fr-FR"/>
        </w:rPr>
        <w:t>law</w:t>
      </w:r>
      <w:proofErr w:type="spellEnd"/>
      <w:r w:rsidRPr="000459A8">
        <w:rPr>
          <w:rFonts w:cs="Times New Roman"/>
          <w:szCs w:val="24"/>
          <w:lang w:val="fr-FR"/>
        </w:rPr>
        <w:t> : elles fournissent aux parties et au tribun</w:t>
      </w:r>
      <w:r w:rsidR="0066466C" w:rsidRPr="000459A8">
        <w:rPr>
          <w:rFonts w:cs="Times New Roman"/>
          <w:szCs w:val="24"/>
          <w:lang w:val="fr-FR"/>
        </w:rPr>
        <w:t xml:space="preserve">al un cadre procédural exprès. </w:t>
      </w:r>
    </w:p>
    <w:p w:rsidR="00765C6D" w:rsidRPr="000459A8" w:rsidRDefault="00765C6D" w:rsidP="00765C6D">
      <w:pPr>
        <w:pStyle w:val="ParaNoNdepar-AltN"/>
        <w:rPr>
          <w:rFonts w:cs="Times New Roman"/>
          <w:szCs w:val="24"/>
          <w:lang w:val="fr-FR"/>
        </w:rPr>
      </w:pPr>
      <w:r w:rsidRPr="000459A8">
        <w:rPr>
          <w:rFonts w:cs="Times New Roman"/>
          <w:szCs w:val="24"/>
          <w:lang w:val="fr-FR"/>
        </w:rPr>
        <w:t xml:space="preserve">Il s’ensuit que les règles 60.11 et 60.12 </w:t>
      </w:r>
      <w:r w:rsidRPr="000459A8">
        <w:rPr>
          <w:rFonts w:cs="Times New Roman"/>
          <w:i/>
          <w:szCs w:val="24"/>
          <w:lang w:val="fr-FR"/>
        </w:rPr>
        <w:t>prévoient</w:t>
      </w:r>
      <w:r w:rsidRPr="000459A8">
        <w:rPr>
          <w:rFonts w:cs="Times New Roman"/>
          <w:szCs w:val="24"/>
          <w:lang w:val="fr-FR"/>
        </w:rPr>
        <w:t xml:space="preserve"> expressément </w:t>
      </w:r>
      <w:r w:rsidRPr="000459A8">
        <w:rPr>
          <w:rFonts w:cs="Times New Roman"/>
          <w:i/>
          <w:szCs w:val="24"/>
          <w:lang w:val="fr-FR"/>
        </w:rPr>
        <w:t>dans un texte de loi un autre mode de procédure</w:t>
      </w:r>
      <w:r w:rsidRPr="000459A8">
        <w:rPr>
          <w:rFonts w:cs="Times New Roman"/>
          <w:szCs w:val="24"/>
          <w:lang w:val="fr-FR"/>
        </w:rPr>
        <w:t xml:space="preserve">.  Vu le caractère disjonctif des mots « la loi [. . .] </w:t>
      </w:r>
      <w:proofErr w:type="spellStart"/>
      <w:r w:rsidRPr="000459A8">
        <w:rPr>
          <w:rFonts w:cs="Times New Roman"/>
          <w:szCs w:val="24"/>
          <w:lang w:val="fr-FR"/>
        </w:rPr>
        <w:t>prévoi</w:t>
      </w:r>
      <w:proofErr w:type="spellEnd"/>
      <w:r w:rsidRPr="000459A8">
        <w:rPr>
          <w:rFonts w:cs="Times New Roman"/>
          <w:szCs w:val="24"/>
          <w:lang w:val="fr-FR"/>
        </w:rPr>
        <w:t xml:space="preserve">[t] expressément une peine ou un autre mode de procédure », cette conclusion suffit pour empêcher des poursuites fondées sur l’art. 127 dans la présente affaire. </w:t>
      </w:r>
    </w:p>
    <w:p w:rsidR="00765C6D" w:rsidRPr="000459A8" w:rsidRDefault="00765C6D" w:rsidP="00765C6D">
      <w:pPr>
        <w:pStyle w:val="ParaNoNdepar-AltN"/>
        <w:rPr>
          <w:rFonts w:eastAsiaTheme="minorHAnsi" w:cs="Times New Roman"/>
          <w:szCs w:val="24"/>
          <w:lang w:val="fr-FR"/>
        </w:rPr>
      </w:pPr>
      <w:r w:rsidRPr="000459A8">
        <w:rPr>
          <w:rFonts w:cs="Times New Roman"/>
          <w:szCs w:val="24"/>
          <w:lang w:val="fr-FR"/>
        </w:rPr>
        <w:t xml:space="preserve">Enfin, nul ne conteste que le procureur général de l’Ontario </w:t>
      </w:r>
      <w:proofErr w:type="gramStart"/>
      <w:r w:rsidRPr="000459A8">
        <w:rPr>
          <w:rFonts w:cs="Times New Roman"/>
          <w:szCs w:val="24"/>
          <w:lang w:val="fr-FR"/>
        </w:rPr>
        <w:t>aurait</w:t>
      </w:r>
      <w:proofErr w:type="gramEnd"/>
      <w:r w:rsidRPr="000459A8">
        <w:rPr>
          <w:rFonts w:cs="Times New Roman"/>
          <w:szCs w:val="24"/>
          <w:lang w:val="fr-FR"/>
        </w:rPr>
        <w:t xml:space="preserve"> pu présenter une motion en vertu des règles 60.11 et 60.12 pour obtenir l’exécution forcée de l’injonction interlocutoire rendue contre M</w:t>
      </w:r>
      <w:r w:rsidRPr="000459A8">
        <w:rPr>
          <w:rFonts w:cs="Times New Roman"/>
          <w:szCs w:val="24"/>
          <w:vertAlign w:val="superscript"/>
          <w:lang w:val="fr-FR"/>
        </w:rPr>
        <w:t>me</w:t>
      </w:r>
      <w:r w:rsidRPr="000459A8">
        <w:rPr>
          <w:rFonts w:cs="Times New Roman"/>
          <w:szCs w:val="24"/>
          <w:lang w:val="fr-FR"/>
        </w:rPr>
        <w:t xml:space="preserve"> Gibbons en 1994.  Le mode de fonctionnement de ces règles ne soulève aucune question, pas plus que les mesures que le tribunal est habilité à prendre lorsqu’elles sont invoquées. </w:t>
      </w:r>
    </w:p>
    <w:p w:rsidR="00765C6D" w:rsidRPr="000459A8" w:rsidRDefault="00765C6D" w:rsidP="00765C6D">
      <w:pPr>
        <w:pStyle w:val="TitleTitre-AltT"/>
        <w:jc w:val="center"/>
        <w:rPr>
          <w:rFonts w:cs="Times New Roman"/>
          <w:szCs w:val="24"/>
        </w:rPr>
      </w:pPr>
      <w:r w:rsidRPr="000459A8">
        <w:rPr>
          <w:rFonts w:cs="Times New Roman"/>
          <w:szCs w:val="24"/>
        </w:rPr>
        <w:t>III</w:t>
      </w:r>
    </w:p>
    <w:p w:rsidR="00765C6D" w:rsidRPr="000459A8" w:rsidRDefault="00765C6D" w:rsidP="00765C6D">
      <w:pPr>
        <w:pStyle w:val="ParaNoNdepar-AltN"/>
        <w:rPr>
          <w:rFonts w:cs="Times New Roman"/>
          <w:szCs w:val="24"/>
          <w:lang w:val="fr-FR"/>
        </w:rPr>
      </w:pPr>
      <w:r w:rsidRPr="000459A8">
        <w:rPr>
          <w:rFonts w:cs="Times New Roman"/>
          <w:szCs w:val="24"/>
          <w:lang w:val="fr-FR"/>
        </w:rPr>
        <w:t>Pour tous ces motifs, comme je l’ai mentionné au début</w:t>
      </w:r>
      <w:r w:rsidR="0066466C" w:rsidRPr="000459A8">
        <w:rPr>
          <w:rFonts w:cs="Times New Roman"/>
          <w:szCs w:val="24"/>
          <w:lang w:val="fr-FR"/>
        </w:rPr>
        <w:t>,</w:t>
      </w:r>
      <w:r w:rsidRPr="000459A8">
        <w:rPr>
          <w:rFonts w:cs="Times New Roman"/>
          <w:szCs w:val="24"/>
          <w:lang w:val="fr-FR"/>
        </w:rPr>
        <w:t xml:space="preserve"> j’accueillerais le pourvoi et j’annulerais la dénonciation déposée contre M</w:t>
      </w:r>
      <w:r w:rsidRPr="000459A8">
        <w:rPr>
          <w:rFonts w:cs="Times New Roman"/>
          <w:szCs w:val="24"/>
          <w:vertAlign w:val="superscript"/>
          <w:lang w:val="fr-FR"/>
        </w:rPr>
        <w:t>me</w:t>
      </w:r>
      <w:r w:rsidRPr="000459A8">
        <w:rPr>
          <w:rFonts w:cs="Times New Roman"/>
          <w:szCs w:val="24"/>
          <w:lang w:val="fr-FR"/>
        </w:rPr>
        <w:t xml:space="preserve"> Gibbons; laissant au procureur général de l’Ontario la liberté, s’il juge à propos de le faire, de demander à </w:t>
      </w:r>
      <w:r w:rsidRPr="000459A8">
        <w:rPr>
          <w:rFonts w:cs="Times New Roman"/>
          <w:szCs w:val="24"/>
          <w:lang w:val="fr-FR"/>
        </w:rPr>
        <w:lastRenderedPageBreak/>
        <w:t>la Cour supérieure de justice de rendre une ordonnance pour outrage en application de la règle 60.11.</w:t>
      </w:r>
    </w:p>
    <w:p w:rsidR="0033393C" w:rsidRPr="000459A8" w:rsidRDefault="0033393C" w:rsidP="00AF2F5B">
      <w:pPr>
        <w:pStyle w:val="SCCNormalDoubleSpacing"/>
        <w:spacing w:after="480"/>
        <w:rPr>
          <w:i/>
          <w:szCs w:val="24"/>
        </w:rPr>
      </w:pPr>
      <w:r w:rsidRPr="000459A8">
        <w:rPr>
          <w:szCs w:val="24"/>
        </w:rPr>
        <w:tab/>
      </w:r>
      <w:r w:rsidR="00F53419" w:rsidRPr="000459A8">
        <w:rPr>
          <w:i/>
          <w:szCs w:val="24"/>
        </w:rPr>
        <w:t>Pourvoi rejeté</w:t>
      </w:r>
      <w:r w:rsidR="00BE65A6" w:rsidRPr="000459A8">
        <w:rPr>
          <w:i/>
          <w:szCs w:val="24"/>
        </w:rPr>
        <w:t xml:space="preserve">, le juge </w:t>
      </w:r>
      <w:r w:rsidR="00BE65A6" w:rsidRPr="000459A8">
        <w:rPr>
          <w:smallCaps/>
          <w:szCs w:val="24"/>
        </w:rPr>
        <w:t>Fish</w:t>
      </w:r>
      <w:r w:rsidR="00BE65A6" w:rsidRPr="000459A8">
        <w:rPr>
          <w:i/>
          <w:szCs w:val="24"/>
        </w:rPr>
        <w:t xml:space="preserve"> est dissident</w:t>
      </w:r>
      <w:r w:rsidR="00F53419" w:rsidRPr="000459A8">
        <w:rPr>
          <w:i/>
          <w:szCs w:val="24"/>
        </w:rPr>
        <w:t>.</w:t>
      </w:r>
    </w:p>
    <w:p w:rsidR="00F53419" w:rsidRPr="000459A8" w:rsidRDefault="00AF2F5B" w:rsidP="00AF2F5B">
      <w:pPr>
        <w:pStyle w:val="SCCLawFirm"/>
        <w:spacing w:after="480"/>
        <w:rPr>
          <w:szCs w:val="24"/>
        </w:rPr>
      </w:pPr>
      <w:r w:rsidRPr="000459A8">
        <w:rPr>
          <w:szCs w:val="24"/>
        </w:rPr>
        <w:tab/>
        <w:t>Procureur de l</w:t>
      </w:r>
      <w:r w:rsidR="007518BB" w:rsidRPr="000459A8">
        <w:rPr>
          <w:szCs w:val="24"/>
        </w:rPr>
        <w:t>’</w:t>
      </w:r>
      <w:r w:rsidRPr="000459A8">
        <w:rPr>
          <w:szCs w:val="24"/>
        </w:rPr>
        <w:t>appelante</w:t>
      </w:r>
      <w:r w:rsidR="00DE579A" w:rsidRPr="000459A8">
        <w:rPr>
          <w:szCs w:val="24"/>
        </w:rPr>
        <w:t> :</w:t>
      </w:r>
      <w:r w:rsidRPr="000459A8">
        <w:rPr>
          <w:szCs w:val="24"/>
        </w:rPr>
        <w:t> </w:t>
      </w:r>
      <w:r w:rsidR="00250B09" w:rsidRPr="000459A8">
        <w:rPr>
          <w:szCs w:val="24"/>
        </w:rPr>
        <w:t>Daniel </w:t>
      </w:r>
      <w:r w:rsidR="00F53419" w:rsidRPr="000459A8">
        <w:rPr>
          <w:szCs w:val="24"/>
        </w:rPr>
        <w:t xml:space="preserve">C. </w:t>
      </w:r>
      <w:proofErr w:type="spellStart"/>
      <w:r w:rsidR="00F53419" w:rsidRPr="000459A8">
        <w:rPr>
          <w:szCs w:val="24"/>
        </w:rPr>
        <w:t>Santoro</w:t>
      </w:r>
      <w:proofErr w:type="spellEnd"/>
      <w:r w:rsidR="00F53419" w:rsidRPr="000459A8">
        <w:rPr>
          <w:szCs w:val="24"/>
        </w:rPr>
        <w:t>, Toronto.</w:t>
      </w:r>
    </w:p>
    <w:p w:rsidR="00F53419" w:rsidRPr="000459A8" w:rsidRDefault="00F53419" w:rsidP="00F53419">
      <w:pPr>
        <w:pStyle w:val="SCCLawFirm"/>
        <w:rPr>
          <w:szCs w:val="24"/>
        </w:rPr>
      </w:pPr>
      <w:r w:rsidRPr="000459A8">
        <w:rPr>
          <w:szCs w:val="24"/>
        </w:rPr>
        <w:tab/>
      </w:r>
      <w:r w:rsidR="00AF2F5B" w:rsidRPr="000459A8">
        <w:rPr>
          <w:szCs w:val="24"/>
        </w:rPr>
        <w:t>Procureur de l</w:t>
      </w:r>
      <w:r w:rsidR="007518BB" w:rsidRPr="000459A8">
        <w:rPr>
          <w:szCs w:val="24"/>
        </w:rPr>
        <w:t>’</w:t>
      </w:r>
      <w:r w:rsidR="00AF2F5B" w:rsidRPr="000459A8">
        <w:rPr>
          <w:szCs w:val="24"/>
        </w:rPr>
        <w:t>intimée</w:t>
      </w:r>
      <w:r w:rsidR="00DE579A" w:rsidRPr="000459A8">
        <w:rPr>
          <w:szCs w:val="24"/>
        </w:rPr>
        <w:t> :</w:t>
      </w:r>
      <w:r w:rsidR="00AF2F5B" w:rsidRPr="000459A8">
        <w:rPr>
          <w:szCs w:val="24"/>
        </w:rPr>
        <w:t> </w:t>
      </w:r>
      <w:r w:rsidRPr="000459A8">
        <w:rPr>
          <w:szCs w:val="24"/>
        </w:rPr>
        <w:t>Procureur général de l</w:t>
      </w:r>
      <w:r w:rsidR="007518BB" w:rsidRPr="000459A8">
        <w:rPr>
          <w:szCs w:val="24"/>
        </w:rPr>
        <w:t>’</w:t>
      </w:r>
      <w:r w:rsidRPr="000459A8">
        <w:rPr>
          <w:szCs w:val="24"/>
        </w:rPr>
        <w:t>Ontario, Toronto.</w:t>
      </w:r>
    </w:p>
    <w:p w:rsidR="0043088E" w:rsidRPr="000459A8" w:rsidRDefault="0043088E" w:rsidP="0043088E">
      <w:pPr>
        <w:rPr>
          <w:szCs w:val="24"/>
        </w:rPr>
      </w:pPr>
    </w:p>
    <w:sectPr w:rsidR="0043088E" w:rsidRPr="000459A8" w:rsidSect="00907D2E">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D2E" w:rsidRDefault="00907D2E">
      <w:r>
        <w:separator/>
      </w:r>
    </w:p>
  </w:endnote>
  <w:endnote w:type="continuationSeparator" w:id="0">
    <w:p w:rsidR="00907D2E" w:rsidRDefault="00907D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D2E" w:rsidRDefault="00907D2E">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D2E" w:rsidRDefault="00907D2E">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D2E" w:rsidRDefault="00907D2E">
      <w:r>
        <w:separator/>
      </w:r>
    </w:p>
  </w:footnote>
  <w:footnote w:type="continuationSeparator" w:id="0">
    <w:p w:rsidR="00907D2E" w:rsidRDefault="00907D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D2E" w:rsidRDefault="00907D2E">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2708"/>
      <w:docPartObj>
        <w:docPartGallery w:val="Page Numbers (Top of Page)"/>
        <w:docPartUnique/>
      </w:docPartObj>
    </w:sdtPr>
    <w:sdtContent>
      <w:p w:rsidR="00907D2E" w:rsidRDefault="00907D2E">
        <w:pPr>
          <w:pStyle w:val="Header"/>
          <w:jc w:val="center"/>
        </w:pPr>
        <w:r>
          <w:t xml:space="preserve">- </w:t>
        </w:r>
        <w:fldSimple w:instr=" PAGE   \* MERGEFORMAT ">
          <w:r w:rsidR="00D93202">
            <w:rPr>
              <w:noProof/>
            </w:rPr>
            <w:t>2</w:t>
          </w:r>
        </w:fldSimple>
        <w:r>
          <w:t xml:space="preserve"> -</w:t>
        </w:r>
      </w:p>
    </w:sdtContent>
  </w:sdt>
  <w:p w:rsidR="00907D2E" w:rsidRDefault="00907D2E"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C363119"/>
    <w:multiLevelType w:val="hybridMultilevel"/>
    <w:tmpl w:val="897CCC5C"/>
    <w:lvl w:ilvl="0" w:tplc="4166494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3425"/>
  </w:hdrShapeDefaults>
  <w:footnotePr>
    <w:footnote w:id="-1"/>
    <w:footnote w:id="0"/>
  </w:footnotePr>
  <w:endnotePr>
    <w:endnote w:id="-1"/>
    <w:endnote w:id="0"/>
  </w:endnotePr>
  <w:compat/>
  <w:rsids>
    <w:rsidRoot w:val="0031414C"/>
    <w:rsid w:val="00025198"/>
    <w:rsid w:val="000459A8"/>
    <w:rsid w:val="00055A36"/>
    <w:rsid w:val="000578A3"/>
    <w:rsid w:val="00064563"/>
    <w:rsid w:val="000648CC"/>
    <w:rsid w:val="00094DE0"/>
    <w:rsid w:val="000A5321"/>
    <w:rsid w:val="000C1878"/>
    <w:rsid w:val="000C59B8"/>
    <w:rsid w:val="000F5832"/>
    <w:rsid w:val="00111DE2"/>
    <w:rsid w:val="00116B38"/>
    <w:rsid w:val="00122796"/>
    <w:rsid w:val="00130ED1"/>
    <w:rsid w:val="0013109F"/>
    <w:rsid w:val="00135406"/>
    <w:rsid w:val="00135972"/>
    <w:rsid w:val="00140667"/>
    <w:rsid w:val="001426A9"/>
    <w:rsid w:val="001506A0"/>
    <w:rsid w:val="00154D7C"/>
    <w:rsid w:val="001570B0"/>
    <w:rsid w:val="00160EFC"/>
    <w:rsid w:val="00166D89"/>
    <w:rsid w:val="00172A04"/>
    <w:rsid w:val="00175A97"/>
    <w:rsid w:val="00185394"/>
    <w:rsid w:val="001940E2"/>
    <w:rsid w:val="001A144C"/>
    <w:rsid w:val="001A451D"/>
    <w:rsid w:val="001B33E0"/>
    <w:rsid w:val="001B4573"/>
    <w:rsid w:val="001C3F16"/>
    <w:rsid w:val="001C779F"/>
    <w:rsid w:val="001D2AC1"/>
    <w:rsid w:val="001F0791"/>
    <w:rsid w:val="001F7673"/>
    <w:rsid w:val="002049D2"/>
    <w:rsid w:val="00220FC2"/>
    <w:rsid w:val="00224FC0"/>
    <w:rsid w:val="00225EA4"/>
    <w:rsid w:val="00226EAF"/>
    <w:rsid w:val="00231F3A"/>
    <w:rsid w:val="002406EE"/>
    <w:rsid w:val="00250B09"/>
    <w:rsid w:val="00253722"/>
    <w:rsid w:val="002745CC"/>
    <w:rsid w:val="00281443"/>
    <w:rsid w:val="00284BF5"/>
    <w:rsid w:val="002D39A4"/>
    <w:rsid w:val="002D548A"/>
    <w:rsid w:val="002E6705"/>
    <w:rsid w:val="002F696C"/>
    <w:rsid w:val="0030329A"/>
    <w:rsid w:val="00307AFD"/>
    <w:rsid w:val="00310475"/>
    <w:rsid w:val="0031086F"/>
    <w:rsid w:val="00310E05"/>
    <w:rsid w:val="0031414C"/>
    <w:rsid w:val="00314E01"/>
    <w:rsid w:val="0032089D"/>
    <w:rsid w:val="0033393C"/>
    <w:rsid w:val="0034770C"/>
    <w:rsid w:val="0035259D"/>
    <w:rsid w:val="003866EC"/>
    <w:rsid w:val="00394476"/>
    <w:rsid w:val="00396519"/>
    <w:rsid w:val="003A4C70"/>
    <w:rsid w:val="003A4E15"/>
    <w:rsid w:val="003A4FE5"/>
    <w:rsid w:val="003B28D2"/>
    <w:rsid w:val="003C799C"/>
    <w:rsid w:val="003E02EB"/>
    <w:rsid w:val="003E1C71"/>
    <w:rsid w:val="003E7BCD"/>
    <w:rsid w:val="003F327B"/>
    <w:rsid w:val="004059A7"/>
    <w:rsid w:val="00405B71"/>
    <w:rsid w:val="00406166"/>
    <w:rsid w:val="00411300"/>
    <w:rsid w:val="00426659"/>
    <w:rsid w:val="0043088E"/>
    <w:rsid w:val="00432FF8"/>
    <w:rsid w:val="004439D8"/>
    <w:rsid w:val="00444750"/>
    <w:rsid w:val="00446D99"/>
    <w:rsid w:val="00454B57"/>
    <w:rsid w:val="00464B1B"/>
    <w:rsid w:val="00465132"/>
    <w:rsid w:val="00480C51"/>
    <w:rsid w:val="00480C90"/>
    <w:rsid w:val="00483476"/>
    <w:rsid w:val="0048396F"/>
    <w:rsid w:val="00493C18"/>
    <w:rsid w:val="00494CDC"/>
    <w:rsid w:val="004A600C"/>
    <w:rsid w:val="004C478D"/>
    <w:rsid w:val="004E4244"/>
    <w:rsid w:val="004E6A2C"/>
    <w:rsid w:val="00516635"/>
    <w:rsid w:val="00521AE8"/>
    <w:rsid w:val="00527180"/>
    <w:rsid w:val="0053028F"/>
    <w:rsid w:val="00536719"/>
    <w:rsid w:val="00544B82"/>
    <w:rsid w:val="005564A7"/>
    <w:rsid w:val="005674FE"/>
    <w:rsid w:val="005A4BFF"/>
    <w:rsid w:val="005B0BFF"/>
    <w:rsid w:val="005E4698"/>
    <w:rsid w:val="005E5752"/>
    <w:rsid w:val="006172E0"/>
    <w:rsid w:val="006200CE"/>
    <w:rsid w:val="00625C35"/>
    <w:rsid w:val="00632120"/>
    <w:rsid w:val="00634E1B"/>
    <w:rsid w:val="00636402"/>
    <w:rsid w:val="00642AA9"/>
    <w:rsid w:val="00645057"/>
    <w:rsid w:val="00652F8F"/>
    <w:rsid w:val="00654858"/>
    <w:rsid w:val="006565F4"/>
    <w:rsid w:val="0066466C"/>
    <w:rsid w:val="00681AD1"/>
    <w:rsid w:val="006A56F1"/>
    <w:rsid w:val="006B5FF5"/>
    <w:rsid w:val="006C3CF1"/>
    <w:rsid w:val="006C5661"/>
    <w:rsid w:val="006D4790"/>
    <w:rsid w:val="006F2D2B"/>
    <w:rsid w:val="00701759"/>
    <w:rsid w:val="00702C6F"/>
    <w:rsid w:val="00705C6D"/>
    <w:rsid w:val="00714B20"/>
    <w:rsid w:val="00715621"/>
    <w:rsid w:val="0071619C"/>
    <w:rsid w:val="00716816"/>
    <w:rsid w:val="00732CEB"/>
    <w:rsid w:val="00747288"/>
    <w:rsid w:val="00747DD3"/>
    <w:rsid w:val="007518BB"/>
    <w:rsid w:val="00752D25"/>
    <w:rsid w:val="00752F4E"/>
    <w:rsid w:val="007549C8"/>
    <w:rsid w:val="00754B79"/>
    <w:rsid w:val="0076195B"/>
    <w:rsid w:val="00761C96"/>
    <w:rsid w:val="00762D30"/>
    <w:rsid w:val="00763377"/>
    <w:rsid w:val="00765C6D"/>
    <w:rsid w:val="00766D14"/>
    <w:rsid w:val="00767A0F"/>
    <w:rsid w:val="00775837"/>
    <w:rsid w:val="007834A8"/>
    <w:rsid w:val="007A05F6"/>
    <w:rsid w:val="007A40DC"/>
    <w:rsid w:val="007B6F4A"/>
    <w:rsid w:val="007C464D"/>
    <w:rsid w:val="007E1C47"/>
    <w:rsid w:val="007E337A"/>
    <w:rsid w:val="007E5C70"/>
    <w:rsid w:val="007F2FF5"/>
    <w:rsid w:val="007F44C3"/>
    <w:rsid w:val="008112A8"/>
    <w:rsid w:val="00817190"/>
    <w:rsid w:val="008267C0"/>
    <w:rsid w:val="008322BD"/>
    <w:rsid w:val="00855307"/>
    <w:rsid w:val="00862CF3"/>
    <w:rsid w:val="00864CF8"/>
    <w:rsid w:val="00874914"/>
    <w:rsid w:val="00881F31"/>
    <w:rsid w:val="00892E1A"/>
    <w:rsid w:val="00894780"/>
    <w:rsid w:val="008958F5"/>
    <w:rsid w:val="008A63B6"/>
    <w:rsid w:val="008A6558"/>
    <w:rsid w:val="008A727C"/>
    <w:rsid w:val="008C01DA"/>
    <w:rsid w:val="008F16CE"/>
    <w:rsid w:val="008F16D9"/>
    <w:rsid w:val="008F1E0C"/>
    <w:rsid w:val="008F78E9"/>
    <w:rsid w:val="00902462"/>
    <w:rsid w:val="00904B52"/>
    <w:rsid w:val="00907D2E"/>
    <w:rsid w:val="009166A3"/>
    <w:rsid w:val="00937DE8"/>
    <w:rsid w:val="009403F3"/>
    <w:rsid w:val="00957FA2"/>
    <w:rsid w:val="00961A26"/>
    <w:rsid w:val="00965ABF"/>
    <w:rsid w:val="00966913"/>
    <w:rsid w:val="00967374"/>
    <w:rsid w:val="0097543E"/>
    <w:rsid w:val="00983F3F"/>
    <w:rsid w:val="00985C69"/>
    <w:rsid w:val="0099079B"/>
    <w:rsid w:val="00995352"/>
    <w:rsid w:val="009B2F23"/>
    <w:rsid w:val="009B53E2"/>
    <w:rsid w:val="009B57B3"/>
    <w:rsid w:val="009D5AEB"/>
    <w:rsid w:val="009D63A4"/>
    <w:rsid w:val="009F383F"/>
    <w:rsid w:val="00A05F0E"/>
    <w:rsid w:val="00A21107"/>
    <w:rsid w:val="00A21B90"/>
    <w:rsid w:val="00A24E15"/>
    <w:rsid w:val="00A27DA6"/>
    <w:rsid w:val="00A45737"/>
    <w:rsid w:val="00A51D62"/>
    <w:rsid w:val="00A548CB"/>
    <w:rsid w:val="00A6242E"/>
    <w:rsid w:val="00A643E7"/>
    <w:rsid w:val="00A72AD0"/>
    <w:rsid w:val="00A73C38"/>
    <w:rsid w:val="00AA2666"/>
    <w:rsid w:val="00AB3654"/>
    <w:rsid w:val="00AC6322"/>
    <w:rsid w:val="00AC7437"/>
    <w:rsid w:val="00AC7A44"/>
    <w:rsid w:val="00AE2910"/>
    <w:rsid w:val="00AF03C5"/>
    <w:rsid w:val="00AF2F5B"/>
    <w:rsid w:val="00B000D8"/>
    <w:rsid w:val="00B00F75"/>
    <w:rsid w:val="00B1341A"/>
    <w:rsid w:val="00B145B6"/>
    <w:rsid w:val="00B15E19"/>
    <w:rsid w:val="00B24023"/>
    <w:rsid w:val="00B450CB"/>
    <w:rsid w:val="00B50C81"/>
    <w:rsid w:val="00B557F8"/>
    <w:rsid w:val="00B64972"/>
    <w:rsid w:val="00B66DD8"/>
    <w:rsid w:val="00B8145D"/>
    <w:rsid w:val="00B815FC"/>
    <w:rsid w:val="00B93FBC"/>
    <w:rsid w:val="00B94DEC"/>
    <w:rsid w:val="00BB1F07"/>
    <w:rsid w:val="00BE65A6"/>
    <w:rsid w:val="00C02092"/>
    <w:rsid w:val="00C057F7"/>
    <w:rsid w:val="00C0663B"/>
    <w:rsid w:val="00C13977"/>
    <w:rsid w:val="00C24C8C"/>
    <w:rsid w:val="00C24D91"/>
    <w:rsid w:val="00C35F07"/>
    <w:rsid w:val="00C52532"/>
    <w:rsid w:val="00C53F14"/>
    <w:rsid w:val="00C55C2E"/>
    <w:rsid w:val="00C600CF"/>
    <w:rsid w:val="00C6084F"/>
    <w:rsid w:val="00C62A66"/>
    <w:rsid w:val="00C62A6F"/>
    <w:rsid w:val="00C66DAB"/>
    <w:rsid w:val="00C67CA5"/>
    <w:rsid w:val="00C71458"/>
    <w:rsid w:val="00C71F58"/>
    <w:rsid w:val="00C77613"/>
    <w:rsid w:val="00C828E7"/>
    <w:rsid w:val="00C82C2A"/>
    <w:rsid w:val="00C921DD"/>
    <w:rsid w:val="00C948F0"/>
    <w:rsid w:val="00CA2055"/>
    <w:rsid w:val="00CA4D82"/>
    <w:rsid w:val="00CA6391"/>
    <w:rsid w:val="00CC2A62"/>
    <w:rsid w:val="00CD0631"/>
    <w:rsid w:val="00CD6D46"/>
    <w:rsid w:val="00CE3171"/>
    <w:rsid w:val="00CE3C1F"/>
    <w:rsid w:val="00CF1601"/>
    <w:rsid w:val="00D248AF"/>
    <w:rsid w:val="00D32086"/>
    <w:rsid w:val="00D37A3F"/>
    <w:rsid w:val="00D45FCF"/>
    <w:rsid w:val="00D4667A"/>
    <w:rsid w:val="00D510BB"/>
    <w:rsid w:val="00D53FA2"/>
    <w:rsid w:val="00D5435D"/>
    <w:rsid w:val="00D732BA"/>
    <w:rsid w:val="00D74F2E"/>
    <w:rsid w:val="00D93202"/>
    <w:rsid w:val="00DA0590"/>
    <w:rsid w:val="00DB3BBA"/>
    <w:rsid w:val="00DC1788"/>
    <w:rsid w:val="00DD6F9A"/>
    <w:rsid w:val="00DE579A"/>
    <w:rsid w:val="00DF0CA8"/>
    <w:rsid w:val="00DF49A7"/>
    <w:rsid w:val="00DF6E6E"/>
    <w:rsid w:val="00E01106"/>
    <w:rsid w:val="00E07EE2"/>
    <w:rsid w:val="00E24573"/>
    <w:rsid w:val="00E328BF"/>
    <w:rsid w:val="00E377A1"/>
    <w:rsid w:val="00E45109"/>
    <w:rsid w:val="00E52162"/>
    <w:rsid w:val="00E54B02"/>
    <w:rsid w:val="00E61A41"/>
    <w:rsid w:val="00E64E77"/>
    <w:rsid w:val="00E9265A"/>
    <w:rsid w:val="00E97830"/>
    <w:rsid w:val="00EA03E5"/>
    <w:rsid w:val="00EB3B17"/>
    <w:rsid w:val="00EC6217"/>
    <w:rsid w:val="00EE0FAF"/>
    <w:rsid w:val="00F00EB7"/>
    <w:rsid w:val="00F2258E"/>
    <w:rsid w:val="00F246ED"/>
    <w:rsid w:val="00F33658"/>
    <w:rsid w:val="00F36205"/>
    <w:rsid w:val="00F36AB6"/>
    <w:rsid w:val="00F409CE"/>
    <w:rsid w:val="00F53419"/>
    <w:rsid w:val="00F61EDF"/>
    <w:rsid w:val="00F64610"/>
    <w:rsid w:val="00F84DF4"/>
    <w:rsid w:val="00F853FB"/>
    <w:rsid w:val="00F85C97"/>
    <w:rsid w:val="00F9663B"/>
    <w:rsid w:val="00FA2FE1"/>
    <w:rsid w:val="00FA442B"/>
    <w:rsid w:val="00FC35D5"/>
    <w:rsid w:val="00FC606D"/>
    <w:rsid w:val="00FD068D"/>
    <w:rsid w:val="00FD13AA"/>
    <w:rsid w:val="00FD4F28"/>
    <w:rsid w:val="00FE4B4D"/>
    <w:rsid w:val="00FE6784"/>
    <w:rsid w:val="00FF53A5"/>
    <w:rsid w:val="00FF5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LsocOtherPartyRoleSeparator">
    <w:name w:val="SCC.Lsoc.OtherPartyRoleSeparator"/>
    <w:basedOn w:val="Normal"/>
    <w:next w:val="Normal"/>
    <w:link w:val="SCCLsocOtherPartyRoleSeparatorChar"/>
    <w:rsid w:val="00765C6D"/>
    <w:pPr>
      <w:spacing w:after="480"/>
    </w:pPr>
    <w:rPr>
      <w:rFonts w:eastAsiaTheme="minorHAnsi" w:cstheme="minorBidi"/>
      <w:szCs w:val="22"/>
      <w:lang w:val="en-CA" w:eastAsia="en-US"/>
    </w:rPr>
  </w:style>
  <w:style w:type="character" w:customStyle="1" w:styleId="SCCLsocOtherPartyRoleSeparatorChar">
    <w:name w:val="SCC.Lsoc.OtherPartyRoleSeparator Char"/>
    <w:basedOn w:val="DefaultParagraphFont"/>
    <w:link w:val="SCCLsocOtherPartyRoleSeparator"/>
    <w:rsid w:val="00765C6D"/>
    <w:rPr>
      <w:rFonts w:eastAsiaTheme="minorHAnsi" w:cstheme="minorBidi"/>
      <w:sz w:val="24"/>
      <w:szCs w:val="22"/>
      <w:lang w:eastAsia="en-US"/>
    </w:rPr>
  </w:style>
  <w:style w:type="character" w:customStyle="1" w:styleId="SCCBanSummaryChar">
    <w:name w:val="SCC.BanSummary Char"/>
    <w:basedOn w:val="DefaultParagraphFont"/>
    <w:link w:val="SCCBanSummary"/>
    <w:rsid w:val="00765C6D"/>
    <w:rPr>
      <w:b/>
      <w:sz w:val="24"/>
      <w:lang w:val="fr-CA"/>
    </w:rPr>
  </w:style>
  <w:style w:type="table" w:styleId="TableGrid">
    <w:name w:val="Table Grid"/>
    <w:basedOn w:val="TableNormal"/>
    <w:uiPriority w:val="59"/>
    <w:rsid w:val="00765C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765C6D"/>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765C6D"/>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765C6D"/>
    <w:pPr>
      <w:tabs>
        <w:tab w:val="left" w:pos="1166"/>
      </w:tabs>
      <w:spacing w:after="480" w:line="480" w:lineRule="auto"/>
    </w:pPr>
    <w:rPr>
      <w:smallCaps/>
      <w:sz w:val="24"/>
    </w:rPr>
  </w:style>
  <w:style w:type="paragraph" w:customStyle="1" w:styleId="ParaNoNdepar-AltN">
    <w:name w:val="Para. No. / Nº de par. - Alt N"/>
    <w:qFormat/>
    <w:rsid w:val="00765C6D"/>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765C6D"/>
    <w:pPr>
      <w:keepNext/>
      <w:tabs>
        <w:tab w:val="left" w:pos="360"/>
      </w:tabs>
      <w:spacing w:after="720"/>
      <w:ind w:left="357" w:hanging="357"/>
      <w:jc w:val="both"/>
    </w:pPr>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DE31F-847E-4063-BD8D-53227D6D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5470</Words>
  <Characters>28380</Characters>
  <Application>Microsoft Office Word</Application>
  <DocSecurity>0</DocSecurity>
  <Lines>236</Lines>
  <Paragraphs>67</Paragraphs>
  <ScaleCrop>false</ScaleCrop>
  <Company/>
  <LinksUpToDate>false</LinksUpToDate>
  <CharactersWithSpaces>33783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2012-07-31T18:14:00Z</dcterms:created>
  <dcterms:modified xsi:type="dcterms:W3CDTF">2013-02-25T15:51:00Z</dcterms:modified>
</cp:coreProperties>
</file>