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34339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7C6E6C">
            <w:r>
              <w:t xml:space="preserve">Le </w:t>
            </w:r>
            <w:r w:rsidR="007C6E6C">
              <w:t>22</w:t>
            </w:r>
            <w:r>
              <w:t xml:space="preserve"> décembre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7C6E6C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</w:t>
            </w:r>
            <w:r w:rsidR="007C6E6C">
              <w:t>22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F2BE2" w:rsidTr="00F47372">
        <w:tc>
          <w:tcPr>
            <w:tcW w:w="2269" w:type="pct"/>
          </w:tcPr>
          <w:p w:rsidR="00417FB7" w:rsidRPr="001E26DB" w:rsidRDefault="00417FB7" w:rsidP="007C6E6C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C6E6C">
              <w:rPr>
                <w:lang w:val="en-US"/>
              </w:rPr>
              <w:t>LeBel, Abella and Cromwell JJ.</w:t>
            </w:r>
          </w:p>
        </w:tc>
      </w:tr>
      <w:tr w:rsidR="00C2612E" w:rsidRPr="004F2BE2" w:rsidTr="00F47372">
        <w:tc>
          <w:tcPr>
            <w:tcW w:w="2269" w:type="pct"/>
          </w:tcPr>
          <w:p w:rsidR="00C2612E" w:rsidRPr="007C6E6C" w:rsidRDefault="00C2612E" w:rsidP="008262A3">
            <w:pPr>
              <w:rPr>
                <w:lang w:val="en-US"/>
              </w:rPr>
            </w:pPr>
          </w:p>
          <w:p w:rsidR="00C2612E" w:rsidRPr="007C6E6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7C6E6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71657C" w:rsidRDefault="002A314E">
            <w:pPr>
              <w:pStyle w:val="SCCLsocPrefix"/>
            </w:pPr>
            <w:r>
              <w:t>ENTRE :</w:t>
            </w:r>
            <w:r>
              <w:br/>
            </w:r>
          </w:p>
          <w:p w:rsidR="0071657C" w:rsidRDefault="002A314E">
            <w:pPr>
              <w:pStyle w:val="SCCLsocParty"/>
            </w:pPr>
            <w:r>
              <w:t>L.M.</w:t>
            </w:r>
            <w:r>
              <w:br/>
            </w:r>
          </w:p>
          <w:p w:rsidR="0071657C" w:rsidRDefault="002A314E">
            <w:pPr>
              <w:pStyle w:val="SCCLsocPartyRole"/>
            </w:pPr>
            <w:r>
              <w:t>Demandeur</w:t>
            </w:r>
            <w:r>
              <w:br/>
            </w:r>
          </w:p>
          <w:p w:rsidR="0071657C" w:rsidRDefault="002A314E">
            <w:pPr>
              <w:pStyle w:val="SCCLsocVersus"/>
            </w:pPr>
            <w:r>
              <w:t>- et -</w:t>
            </w:r>
            <w:r>
              <w:br/>
            </w:r>
          </w:p>
          <w:p w:rsidR="0071657C" w:rsidRDefault="002A314E">
            <w:pPr>
              <w:pStyle w:val="SCCLsocParty"/>
            </w:pPr>
            <w:r>
              <w:t>E.A.</w:t>
            </w:r>
            <w:r>
              <w:br/>
            </w:r>
          </w:p>
          <w:p w:rsidR="007C6E6C" w:rsidRDefault="002A314E" w:rsidP="007C6E6C">
            <w:pPr>
              <w:pStyle w:val="SCCLsocPartyRole"/>
            </w:pPr>
            <w:r>
              <w:t>Intimée</w:t>
            </w:r>
            <w:r>
              <w:br/>
            </w:r>
          </w:p>
          <w:p w:rsidR="007C6E6C" w:rsidRDefault="007C6E6C" w:rsidP="007C6E6C">
            <w:pPr>
              <w:pStyle w:val="SCCLsocVersus"/>
            </w:pPr>
            <w:r>
              <w:t>- et -</w:t>
            </w:r>
            <w:r>
              <w:br/>
            </w:r>
          </w:p>
          <w:p w:rsidR="0071657C" w:rsidRDefault="002A314E">
            <w:pPr>
              <w:pStyle w:val="SCCLsocParty"/>
            </w:pPr>
            <w:r>
              <w:t>Procureur général du Québec</w:t>
            </w:r>
            <w:r>
              <w:br/>
            </w:r>
          </w:p>
          <w:p w:rsidR="0071657C" w:rsidRDefault="002A314E" w:rsidP="007C6E6C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  <w:vAlign w:val="center"/>
          </w:tcPr>
          <w:p w:rsidR="00824412" w:rsidRPr="007C6E6C" w:rsidRDefault="00824412" w:rsidP="00375294"/>
        </w:tc>
        <w:tc>
          <w:tcPr>
            <w:tcW w:w="2350" w:type="pct"/>
            <w:vAlign w:val="center"/>
          </w:tcPr>
          <w:p w:rsidR="0071657C" w:rsidRPr="007C6E6C" w:rsidRDefault="002A314E">
            <w:pPr>
              <w:pStyle w:val="SCCLsocPrefix"/>
              <w:rPr>
                <w:lang w:val="en-US"/>
              </w:rPr>
            </w:pPr>
            <w:r w:rsidRPr="007C6E6C">
              <w:rPr>
                <w:lang w:val="en-US"/>
              </w:rPr>
              <w:t>BETWEEN:</w:t>
            </w:r>
            <w:r w:rsidRPr="007C6E6C">
              <w:rPr>
                <w:lang w:val="en-US"/>
              </w:rPr>
              <w:br/>
            </w:r>
          </w:p>
          <w:p w:rsidR="0071657C" w:rsidRPr="007C6E6C" w:rsidRDefault="002A314E">
            <w:pPr>
              <w:pStyle w:val="SCCLsocParty"/>
              <w:rPr>
                <w:lang w:val="en-US"/>
              </w:rPr>
            </w:pPr>
            <w:r w:rsidRPr="007C6E6C">
              <w:rPr>
                <w:lang w:val="en-US"/>
              </w:rPr>
              <w:t>L.M.</w:t>
            </w:r>
            <w:r w:rsidRPr="007C6E6C">
              <w:rPr>
                <w:lang w:val="en-US"/>
              </w:rPr>
              <w:br/>
            </w:r>
          </w:p>
          <w:p w:rsidR="0071657C" w:rsidRPr="007C6E6C" w:rsidRDefault="002A314E">
            <w:pPr>
              <w:pStyle w:val="SCCLsocPartyRole"/>
              <w:rPr>
                <w:lang w:val="en-US"/>
              </w:rPr>
            </w:pPr>
            <w:r w:rsidRPr="007C6E6C">
              <w:rPr>
                <w:lang w:val="en-US"/>
              </w:rPr>
              <w:t>Applicant</w:t>
            </w:r>
            <w:r w:rsidRPr="007C6E6C">
              <w:rPr>
                <w:lang w:val="en-US"/>
              </w:rPr>
              <w:br/>
            </w:r>
          </w:p>
          <w:p w:rsidR="0071657C" w:rsidRPr="007C6E6C" w:rsidRDefault="002A314E">
            <w:pPr>
              <w:pStyle w:val="SCCLsocVersus"/>
              <w:rPr>
                <w:lang w:val="en-US"/>
              </w:rPr>
            </w:pPr>
            <w:r w:rsidRPr="007C6E6C">
              <w:rPr>
                <w:lang w:val="en-US"/>
              </w:rPr>
              <w:t>- and -</w:t>
            </w:r>
            <w:r w:rsidRPr="007C6E6C">
              <w:rPr>
                <w:lang w:val="en-US"/>
              </w:rPr>
              <w:br/>
            </w:r>
          </w:p>
          <w:p w:rsidR="0071657C" w:rsidRPr="007C6E6C" w:rsidRDefault="002A314E">
            <w:pPr>
              <w:pStyle w:val="SCCLsocParty"/>
              <w:rPr>
                <w:lang w:val="en-US"/>
              </w:rPr>
            </w:pPr>
            <w:r w:rsidRPr="007C6E6C">
              <w:rPr>
                <w:lang w:val="en-US"/>
              </w:rPr>
              <w:t>E.A.</w:t>
            </w:r>
            <w:r w:rsidRPr="007C6E6C">
              <w:rPr>
                <w:lang w:val="en-US"/>
              </w:rPr>
              <w:br/>
            </w:r>
          </w:p>
          <w:p w:rsidR="007C6E6C" w:rsidRPr="007C6E6C" w:rsidRDefault="002A314E" w:rsidP="007C6E6C">
            <w:pPr>
              <w:pStyle w:val="SCCLsocPartyRole"/>
              <w:rPr>
                <w:lang w:val="en-US"/>
              </w:rPr>
            </w:pPr>
            <w:r w:rsidRPr="007C6E6C">
              <w:rPr>
                <w:lang w:val="en-US"/>
              </w:rPr>
              <w:t>Respondent</w:t>
            </w:r>
            <w:r w:rsidRPr="007C6E6C">
              <w:rPr>
                <w:lang w:val="en-US"/>
              </w:rPr>
              <w:br/>
            </w:r>
          </w:p>
          <w:p w:rsidR="007C6E6C" w:rsidRPr="007C6E6C" w:rsidRDefault="007C6E6C" w:rsidP="007C6E6C">
            <w:pPr>
              <w:pStyle w:val="SCCLsocVersus"/>
              <w:rPr>
                <w:lang w:val="en-US"/>
              </w:rPr>
            </w:pPr>
            <w:r w:rsidRPr="007C6E6C">
              <w:rPr>
                <w:lang w:val="en-US"/>
              </w:rPr>
              <w:t>- and -</w:t>
            </w:r>
            <w:r w:rsidRPr="007C6E6C">
              <w:rPr>
                <w:lang w:val="en-US"/>
              </w:rPr>
              <w:br/>
            </w:r>
          </w:p>
          <w:p w:rsidR="0071657C" w:rsidRPr="007C6E6C" w:rsidRDefault="002A314E">
            <w:pPr>
              <w:pStyle w:val="SCCLsocParty"/>
              <w:rPr>
                <w:lang w:val="en-US"/>
              </w:rPr>
            </w:pPr>
            <w:r w:rsidRPr="007C6E6C">
              <w:rPr>
                <w:lang w:val="en-US"/>
              </w:rPr>
              <w:t>Attorney General of Quebec</w:t>
            </w:r>
            <w:r w:rsidRPr="007C6E6C">
              <w:rPr>
                <w:lang w:val="en-US"/>
              </w:rPr>
              <w:br/>
            </w:r>
          </w:p>
          <w:p w:rsidR="0071657C" w:rsidRDefault="002A314E">
            <w:pPr>
              <w:pStyle w:val="SCCLsocPartyRole"/>
            </w:pPr>
            <w:proofErr w:type="spellStart"/>
            <w:r>
              <w:t>Intervener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F2BE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CF38F9" w:rsidP="00B731DB">
            <w:pPr>
              <w:jc w:val="both"/>
            </w:pPr>
            <w:r w:rsidRPr="00484EA8">
              <w:t>La requête en prorogation du délai de signification et de dépôt de la demande d’autorisation d’appel est acc</w:t>
            </w:r>
            <w:r w:rsidR="00B731DB">
              <w:t>ueillie</w:t>
            </w:r>
            <w:r w:rsidRPr="00484EA8"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500-09-021100-102</w:t>
            </w:r>
            <w:r w:rsidR="0027081E" w:rsidRPr="001E26DB">
              <w:t xml:space="preserve">, </w:t>
            </w:r>
            <w:r w:rsidR="00B1341A">
              <w:t xml:space="preserve">2011 QCCA 729, </w:t>
            </w:r>
            <w:r w:rsidR="0027081E" w:rsidRPr="001E26DB">
              <w:t xml:space="preserve">daté du </w:t>
            </w:r>
            <w:r w:rsidR="0027081E">
              <w:t>14 avril 2011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CF38F9" w:rsidP="00A457D5">
            <w:pPr>
              <w:jc w:val="both"/>
              <w:rPr>
                <w:lang w:val="en-CA"/>
              </w:rPr>
            </w:pPr>
            <w:r w:rsidRPr="00CF38F9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7C6E6C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7C6E6C">
              <w:rPr>
                <w:lang w:val="en-US"/>
              </w:rPr>
              <w:t>500-09-021100-102</w:t>
            </w:r>
            <w:r w:rsidR="0027081E" w:rsidRPr="001E26DB">
              <w:rPr>
                <w:lang w:val="en-CA"/>
              </w:rPr>
              <w:t xml:space="preserve">, </w:t>
            </w:r>
            <w:r w:rsidR="00B1341A">
              <w:rPr>
                <w:lang w:val="en-CA"/>
              </w:rPr>
              <w:t xml:space="preserve">2011 QCCA 729,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7C6E6C">
              <w:rPr>
                <w:lang w:val="en-US"/>
              </w:rPr>
              <w:t>April 14, 2011</w:t>
            </w:r>
            <w:r w:rsidR="00A457D5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 w:rsidR="00A457D5">
              <w:rPr>
                <w:lang w:val="en-CA"/>
              </w:rPr>
              <w:t xml:space="preserve"> 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A457D5" w:rsidRDefault="00A457D5" w:rsidP="00655333">
      <w:pPr>
        <w:jc w:val="center"/>
        <w:rPr>
          <w:lang w:val="en-US"/>
        </w:rPr>
      </w:pPr>
    </w:p>
    <w:p w:rsidR="00A457D5" w:rsidRDefault="00A457D5" w:rsidP="00655333">
      <w:pPr>
        <w:jc w:val="center"/>
        <w:rPr>
          <w:lang w:val="en-US"/>
        </w:rPr>
      </w:pPr>
    </w:p>
    <w:p w:rsidR="00A457D5" w:rsidRPr="007C6E6C" w:rsidRDefault="00A457D5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7C6E6C" w:rsidRDefault="00655333" w:rsidP="00655333">
      <w:pPr>
        <w:jc w:val="center"/>
        <w:rPr>
          <w:lang w:val="en-US"/>
        </w:rPr>
      </w:pPr>
      <w:proofErr w:type="gramStart"/>
      <w:r w:rsidRPr="007C6E6C">
        <w:rPr>
          <w:lang w:val="en-US"/>
        </w:rPr>
        <w:t>J.S.C.C.</w:t>
      </w:r>
      <w:proofErr w:type="gramEnd"/>
    </w:p>
    <w:sectPr w:rsidR="009F436C" w:rsidRPr="007C6E6C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41EE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41EE7" w:rsidRPr="00417FB7">
      <w:rPr>
        <w:szCs w:val="24"/>
      </w:rPr>
      <w:fldChar w:fldCharType="separate"/>
    </w:r>
    <w:r w:rsidR="004F2BE2">
      <w:rPr>
        <w:noProof/>
        <w:szCs w:val="24"/>
      </w:rPr>
      <w:t>2</w:t>
    </w:r>
    <w:r w:rsidR="00241EE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34339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41EE7"/>
    <w:rsid w:val="0027081E"/>
    <w:rsid w:val="002A314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F2BE2"/>
    <w:rsid w:val="00504B7F"/>
    <w:rsid w:val="00524C94"/>
    <w:rsid w:val="00562CF9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1657C"/>
    <w:rsid w:val="007372EA"/>
    <w:rsid w:val="0076003F"/>
    <w:rsid w:val="0079129C"/>
    <w:rsid w:val="007A54CC"/>
    <w:rsid w:val="007C6E6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457D5"/>
    <w:rsid w:val="00AB5E22"/>
    <w:rsid w:val="00AE2077"/>
    <w:rsid w:val="00AF1D29"/>
    <w:rsid w:val="00B1341A"/>
    <w:rsid w:val="00B37AA5"/>
    <w:rsid w:val="00B408F8"/>
    <w:rsid w:val="00B41C8D"/>
    <w:rsid w:val="00B5078E"/>
    <w:rsid w:val="00B60EDC"/>
    <w:rsid w:val="00B731DB"/>
    <w:rsid w:val="00BA7D71"/>
    <w:rsid w:val="00BD2A96"/>
    <w:rsid w:val="00BF7644"/>
    <w:rsid w:val="00C2612E"/>
    <w:rsid w:val="00C609B7"/>
    <w:rsid w:val="00CF2E5D"/>
    <w:rsid w:val="00CF38F9"/>
    <w:rsid w:val="00D26BFF"/>
    <w:rsid w:val="00D42339"/>
    <w:rsid w:val="00D61AC2"/>
    <w:rsid w:val="00D652D6"/>
    <w:rsid w:val="00DD5D6B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758A-4119-43D2-A566-2F9B34EA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dcterms:created xsi:type="dcterms:W3CDTF">2011-11-25T19:07:00Z</dcterms:created>
  <dcterms:modified xsi:type="dcterms:W3CDTF">2011-12-29T16:37:00Z</dcterms:modified>
</cp:coreProperties>
</file>