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0E4E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0E4E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327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0E4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B73276" w:rsidTr="00F47372">
        <w:tc>
          <w:tcPr>
            <w:tcW w:w="2269" w:type="pct"/>
          </w:tcPr>
          <w:p w:rsidR="00C2612E" w:rsidRPr="00EA0E4E" w:rsidRDefault="00C2612E" w:rsidP="008262A3">
            <w:pPr>
              <w:rPr>
                <w:lang w:val="fr-CA"/>
              </w:rPr>
            </w:pPr>
          </w:p>
          <w:p w:rsidR="00C2612E" w:rsidRPr="00EA0E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0E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01E91" w:rsidRDefault="00EA0E4E">
            <w:pPr>
              <w:pStyle w:val="SCCLsocPrefix"/>
            </w:pPr>
            <w:r>
              <w:t>BETWEEN:</w:t>
            </w:r>
            <w:r>
              <w:br/>
            </w:r>
          </w:p>
          <w:p w:rsidR="00F01E91" w:rsidRDefault="00EA0E4E">
            <w:pPr>
              <w:pStyle w:val="SCCLsocParty"/>
            </w:pPr>
            <w:r>
              <w:t>CMRRA-SODRAC Inc. (CSI)</w:t>
            </w:r>
            <w:r>
              <w:br/>
            </w:r>
          </w:p>
          <w:p w:rsidR="00F01E91" w:rsidRDefault="00EA0E4E">
            <w:pPr>
              <w:pStyle w:val="SCCLsocPartyRole"/>
            </w:pPr>
            <w:r>
              <w:t>Applicant</w:t>
            </w:r>
            <w:r>
              <w:br/>
            </w:r>
          </w:p>
          <w:p w:rsidR="00F01E91" w:rsidRDefault="00EA0E4E">
            <w:pPr>
              <w:pStyle w:val="SCCLsocVersus"/>
            </w:pPr>
            <w:r>
              <w:t>- and -</w:t>
            </w:r>
            <w:r>
              <w:br/>
            </w:r>
          </w:p>
          <w:p w:rsidR="00F01E91" w:rsidRDefault="00EA0E4E">
            <w:pPr>
              <w:pStyle w:val="SCCLsocParty"/>
            </w:pPr>
            <w:r>
              <w:t>Canadian Satellite Radio Inc., Sirius Canada Inc., Society of Composers, Authors and Music Publishers of Canada (SOCAN) and Neighbouring Rights Collective of Canada (NRCC)</w:t>
            </w:r>
            <w:r>
              <w:br/>
            </w:r>
          </w:p>
          <w:p w:rsidR="00F01E91" w:rsidRDefault="00EA0E4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01E91" w:rsidRPr="00EA0E4E" w:rsidRDefault="00EA0E4E">
            <w:pPr>
              <w:pStyle w:val="SCCLsocPrefix"/>
              <w:rPr>
                <w:lang w:val="fr-CA"/>
              </w:rPr>
            </w:pPr>
            <w:r w:rsidRPr="00EA0E4E">
              <w:rPr>
                <w:lang w:val="fr-CA"/>
              </w:rPr>
              <w:t>ENTRE :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Party"/>
              <w:rPr>
                <w:lang w:val="fr-CA"/>
              </w:rPr>
            </w:pPr>
            <w:r w:rsidRPr="00EA0E4E">
              <w:rPr>
                <w:lang w:val="fr-CA"/>
              </w:rPr>
              <w:t>CMRRA-SODRAC Inc. (CSI)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Versus"/>
              <w:rPr>
                <w:lang w:val="fr-CA"/>
              </w:rPr>
            </w:pPr>
            <w:r w:rsidRPr="00EA0E4E">
              <w:rPr>
                <w:lang w:val="fr-CA"/>
              </w:rPr>
              <w:t>- et -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Party"/>
              <w:rPr>
                <w:lang w:val="fr-CA"/>
              </w:rPr>
            </w:pPr>
            <w:r w:rsidRPr="00EA0E4E">
              <w:rPr>
                <w:lang w:val="fr-CA"/>
              </w:rPr>
              <w:t>Canadian Satellite Radio Inc., Sirius Canada Inc., Société canadienne des auteurs, compositeurs</w:t>
            </w:r>
            <w:r>
              <w:rPr>
                <w:lang w:val="fr-CA"/>
              </w:rPr>
              <w:t xml:space="preserve"> et éditeurs de musique (SOCAN) et</w:t>
            </w:r>
            <w:r w:rsidRPr="00EA0E4E">
              <w:rPr>
                <w:lang w:val="fr-CA"/>
              </w:rPr>
              <w:t xml:space="preserve"> Société canadienne de gestion des droits voisins (SCGDV)</w:t>
            </w:r>
            <w:r w:rsidRPr="00EA0E4E">
              <w:rPr>
                <w:lang w:val="fr-CA"/>
              </w:rPr>
              <w:br/>
            </w:r>
          </w:p>
          <w:p w:rsidR="00F01E91" w:rsidRDefault="00EA0E4E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327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EC5BAC" w:rsidRDefault="00824412" w:rsidP="00EC5BAC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A-210-09, 2010 FCA 348</w:t>
            </w:r>
            <w:r w:rsidRPr="006E7BAE">
              <w:t xml:space="preserve">, dated </w:t>
            </w:r>
            <w:r>
              <w:t>December 16, 2010</w:t>
            </w:r>
            <w:r w:rsidR="00EA0E4E">
              <w:t>,</w:t>
            </w:r>
            <w:r w:rsidRPr="006E7BAE">
              <w:t xml:space="preserve"> is </w:t>
            </w:r>
            <w:r w:rsidR="00EA0E4E">
              <w:t>dismissed with costs to the respondents Canadian Satellite Radio Inc. and Sirius Canada Inc.</w:t>
            </w:r>
            <w:r w:rsidR="00EC5BAC">
              <w:t xml:space="preserve"> </w:t>
            </w:r>
            <w:r w:rsidR="00EC5BAC" w:rsidRPr="00EC5BAC">
              <w:rPr>
                <w:lang w:val="en-US"/>
              </w:rPr>
              <w:t>The request b</w:t>
            </w:r>
            <w:r w:rsidR="00EC5BAC">
              <w:rPr>
                <w:lang w:val="en-US"/>
              </w:rPr>
              <w:t>y</w:t>
            </w:r>
            <w:r w:rsidR="00EC5BAC" w:rsidRPr="00EC5BAC">
              <w:rPr>
                <w:lang w:val="en-US"/>
              </w:rPr>
              <w:t xml:space="preserve"> Sirius Canada Inc. for special costs award is denied.</w:t>
            </w:r>
          </w:p>
        </w:tc>
        <w:tc>
          <w:tcPr>
            <w:tcW w:w="381" w:type="pct"/>
          </w:tcPr>
          <w:p w:rsidR="00824412" w:rsidRPr="00EC5BAC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0E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0E4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A0E4E">
              <w:rPr>
                <w:lang w:val="fr-CA"/>
              </w:rPr>
              <w:t xml:space="preserve">A-210-09, 2010 </w:t>
            </w:r>
            <w:r w:rsidRPr="00EA0E4E">
              <w:rPr>
                <w:lang w:val="fr-CA"/>
              </w:rPr>
              <w:t>CA</w:t>
            </w:r>
            <w:r w:rsidR="00EA0E4E">
              <w:rPr>
                <w:lang w:val="fr-CA"/>
              </w:rPr>
              <w:t>F</w:t>
            </w:r>
            <w:r w:rsidRPr="00EA0E4E">
              <w:rPr>
                <w:lang w:val="fr-CA"/>
              </w:rPr>
              <w:t xml:space="preserve"> 348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0E4E">
              <w:rPr>
                <w:lang w:val="fr-CA"/>
              </w:rPr>
              <w:t>16 décembre 2010</w:t>
            </w:r>
            <w:r w:rsidRPr="006E7BAE">
              <w:rPr>
                <w:lang w:val="fr-CA"/>
              </w:rPr>
              <w:t xml:space="preserve">, est </w:t>
            </w:r>
            <w:r w:rsidR="00EA0E4E">
              <w:rPr>
                <w:lang w:val="fr-CA"/>
              </w:rPr>
              <w:t>rejetée avec dépens en faveur des intimées Canadian Satellite Radio Inc. et Sirius Canada Inc.</w:t>
            </w:r>
            <w:r w:rsidR="00EC5BAC">
              <w:rPr>
                <w:lang w:val="fr-CA"/>
              </w:rPr>
              <w:t xml:space="preserve">  La demande de Sirius Canada Inc. en vue d’obtenir des dépens spéciaux est refusée.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A0E4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A0E4E" w:rsidRPr="00D83B8C">
        <w:rPr>
          <w:lang w:val="fr-CA"/>
        </w:rPr>
        <w:t xml:space="preserve"> </w:t>
      </w:r>
    </w:p>
    <w:sectPr w:rsidR="003A37CF" w:rsidRPr="00D83B8C" w:rsidSect="00EC5BAC">
      <w:headerReference w:type="default" r:id="rId8"/>
      <w:pgSz w:w="12240" w:h="15840"/>
      <w:pgMar w:top="1440" w:right="1440" w:bottom="5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1E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1E39" w:rsidRPr="00417FB7">
      <w:rPr>
        <w:szCs w:val="24"/>
      </w:rPr>
      <w:fldChar w:fldCharType="separate"/>
    </w:r>
    <w:r w:rsidR="00EC5BAC">
      <w:rPr>
        <w:noProof/>
        <w:szCs w:val="24"/>
      </w:rPr>
      <w:t>2</w:t>
    </w:r>
    <w:r w:rsidR="00641E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41E39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327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0E4E"/>
    <w:rsid w:val="00EA4B61"/>
    <w:rsid w:val="00EC5BAC"/>
    <w:rsid w:val="00EE2A6C"/>
    <w:rsid w:val="00EF6754"/>
    <w:rsid w:val="00F01E9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D3C8-4E7F-4C20-AB95-50E2B24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2011-10-07T16:16:00Z</dcterms:created>
  <dcterms:modified xsi:type="dcterms:W3CDTF">2011-10-24T14:57:00Z</dcterms:modified>
</cp:coreProperties>
</file>