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793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9"/>
        <w:gridCol w:w="4034"/>
      </w:tblGrid>
      <w:tr w:rsidR="00417FB7" w:rsidRPr="00F4094A" w:rsidTr="001F68CA">
        <w:tc>
          <w:tcPr>
            <w:tcW w:w="2367" w:type="pct"/>
          </w:tcPr>
          <w:p w:rsidR="00417FB7" w:rsidRPr="001E26DB" w:rsidRDefault="005B69C9" w:rsidP="003B3E13">
            <w:r>
              <w:t xml:space="preserve">Le 10 </w:t>
            </w:r>
            <w:r w:rsidR="003B3E13">
              <w:t>mars</w:t>
            </w:r>
            <w:r>
              <w:t xml:space="preserve"> 2011</w:t>
            </w:r>
          </w:p>
        </w:tc>
        <w:tc>
          <w:tcPr>
            <w:tcW w:w="398" w:type="pct"/>
          </w:tcPr>
          <w:p w:rsidR="00417FB7" w:rsidRPr="001E26DB" w:rsidRDefault="00417FB7" w:rsidP="00382FEC"/>
        </w:tc>
        <w:tc>
          <w:tcPr>
            <w:tcW w:w="2234" w:type="pct"/>
          </w:tcPr>
          <w:p w:rsidR="00417FB7" w:rsidRPr="001E26DB" w:rsidRDefault="003B3E13" w:rsidP="0027081E">
            <w:pPr>
              <w:rPr>
                <w:lang w:val="en-CA"/>
              </w:rPr>
            </w:pPr>
            <w:r>
              <w:t>March</w:t>
            </w:r>
            <w:r w:rsidR="005B69C9">
              <w:t xml:space="preserve"> 10, 2011</w:t>
            </w:r>
          </w:p>
        </w:tc>
      </w:tr>
      <w:tr w:rsidR="00E12A51" w:rsidRPr="00F4094A" w:rsidTr="001F68CA">
        <w:tc>
          <w:tcPr>
            <w:tcW w:w="2367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34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5F8C" w:rsidTr="001F68CA">
        <w:tc>
          <w:tcPr>
            <w:tcW w:w="2367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98" w:type="pct"/>
          </w:tcPr>
          <w:p w:rsidR="00417FB7" w:rsidRPr="001E26DB" w:rsidRDefault="00417FB7" w:rsidP="00382FEC"/>
        </w:tc>
        <w:tc>
          <w:tcPr>
            <w:tcW w:w="2234" w:type="pct"/>
          </w:tcPr>
          <w:p w:rsidR="00417FB7" w:rsidRPr="001E26DB" w:rsidRDefault="007F41D5" w:rsidP="001F68CA">
            <w:pPr>
              <w:ind w:right="150"/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1F68CA">
              <w:rPr>
                <w:lang w:val="en-CA"/>
              </w:rPr>
              <w:t> </w:t>
            </w:r>
            <w:r w:rsidRPr="003B3E13">
              <w:rPr>
                <w:lang w:val="en-US"/>
              </w:rPr>
              <w:t>LeBel, Deschamps and Charron JJ.</w:t>
            </w:r>
          </w:p>
        </w:tc>
      </w:tr>
      <w:tr w:rsidR="00C2612E" w:rsidRPr="00815F8C" w:rsidTr="001F68CA">
        <w:tc>
          <w:tcPr>
            <w:tcW w:w="2367" w:type="pct"/>
          </w:tcPr>
          <w:p w:rsidR="00C2612E" w:rsidRPr="003B3E13" w:rsidRDefault="00C2612E" w:rsidP="008262A3">
            <w:pPr>
              <w:rPr>
                <w:lang w:val="en-US"/>
              </w:rPr>
            </w:pPr>
          </w:p>
          <w:p w:rsidR="00C2612E" w:rsidRPr="003B3E13" w:rsidRDefault="00C2612E" w:rsidP="008262A3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C2612E" w:rsidRPr="003B3E13" w:rsidRDefault="00C2612E" w:rsidP="00382FEC">
            <w:pPr>
              <w:rPr>
                <w:lang w:val="en-US"/>
              </w:rPr>
            </w:pPr>
          </w:p>
        </w:tc>
        <w:tc>
          <w:tcPr>
            <w:tcW w:w="2234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B3E13" w:rsidTr="001F68CA">
        <w:tc>
          <w:tcPr>
            <w:tcW w:w="2367" w:type="pct"/>
            <w:vAlign w:val="center"/>
          </w:tcPr>
          <w:p w:rsidR="00565A3D" w:rsidRDefault="00901B0F">
            <w:pPr>
              <w:pStyle w:val="SCCLsocPrefix"/>
            </w:pPr>
            <w:r>
              <w:t>ENTRE :</w:t>
            </w:r>
            <w:r>
              <w:br/>
            </w:r>
          </w:p>
          <w:p w:rsidR="00565A3D" w:rsidRDefault="00901B0F">
            <w:pPr>
              <w:pStyle w:val="SCCLsocParty"/>
            </w:pPr>
            <w:r>
              <w:t>Jean-Moïse Haspillaire</w:t>
            </w:r>
            <w:r>
              <w:br/>
            </w:r>
          </w:p>
          <w:p w:rsidR="00565A3D" w:rsidRDefault="00901B0F">
            <w:pPr>
              <w:pStyle w:val="SCCLsocPartyRole"/>
            </w:pPr>
            <w:r>
              <w:t>Demandeur</w:t>
            </w:r>
            <w:r>
              <w:br/>
            </w:r>
          </w:p>
          <w:p w:rsidR="00565A3D" w:rsidRDefault="00901B0F">
            <w:pPr>
              <w:pStyle w:val="SCCLsocVersus"/>
            </w:pPr>
            <w:r>
              <w:t>- et -</w:t>
            </w:r>
            <w:r>
              <w:br/>
            </w:r>
          </w:p>
          <w:p w:rsidR="00565A3D" w:rsidRDefault="00901B0F">
            <w:pPr>
              <w:pStyle w:val="SCCLsocParty"/>
            </w:pPr>
            <w:r>
              <w:t>Procureur général du Québec</w:t>
            </w:r>
          </w:p>
          <w:p w:rsidR="006B5280" w:rsidRPr="006B5280" w:rsidRDefault="006B5280" w:rsidP="006B5280"/>
          <w:p w:rsidR="00565A3D" w:rsidRDefault="00901B0F" w:rsidP="006B5280">
            <w:pPr>
              <w:pStyle w:val="SCCLsocPartyRole"/>
            </w:pPr>
            <w:r>
              <w:t>Intimé</w:t>
            </w:r>
          </w:p>
        </w:tc>
        <w:tc>
          <w:tcPr>
            <w:tcW w:w="398" w:type="pct"/>
            <w:vAlign w:val="center"/>
          </w:tcPr>
          <w:p w:rsidR="00824412" w:rsidRPr="005E08EE" w:rsidRDefault="00824412" w:rsidP="00375294"/>
        </w:tc>
        <w:tc>
          <w:tcPr>
            <w:tcW w:w="2234" w:type="pct"/>
            <w:vAlign w:val="center"/>
          </w:tcPr>
          <w:p w:rsidR="00565A3D" w:rsidRPr="003B3E13" w:rsidRDefault="00901B0F">
            <w:pPr>
              <w:pStyle w:val="SCCLsocPrefix"/>
              <w:rPr>
                <w:lang w:val="en-US"/>
              </w:rPr>
            </w:pPr>
            <w:r w:rsidRPr="003B3E13">
              <w:rPr>
                <w:lang w:val="en-US"/>
              </w:rPr>
              <w:t>BETWEEN:</w:t>
            </w:r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Party"/>
              <w:rPr>
                <w:lang w:val="en-US"/>
              </w:rPr>
            </w:pPr>
            <w:r w:rsidRPr="003B3E13">
              <w:rPr>
                <w:lang w:val="en-US"/>
              </w:rPr>
              <w:t>Jean-</w:t>
            </w:r>
            <w:proofErr w:type="spellStart"/>
            <w:r w:rsidRPr="003B3E13">
              <w:rPr>
                <w:lang w:val="en-US"/>
              </w:rPr>
              <w:t>Moïse</w:t>
            </w:r>
            <w:proofErr w:type="spellEnd"/>
            <w:r w:rsidRPr="003B3E13">
              <w:rPr>
                <w:lang w:val="en-US"/>
              </w:rPr>
              <w:t xml:space="preserve"> </w:t>
            </w:r>
            <w:proofErr w:type="spellStart"/>
            <w:r w:rsidRPr="003B3E13">
              <w:rPr>
                <w:lang w:val="en-US"/>
              </w:rPr>
              <w:t>Haspillaire</w:t>
            </w:r>
            <w:proofErr w:type="spellEnd"/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PartyRole"/>
              <w:rPr>
                <w:lang w:val="en-US"/>
              </w:rPr>
            </w:pPr>
            <w:r w:rsidRPr="003B3E13">
              <w:rPr>
                <w:lang w:val="en-US"/>
              </w:rPr>
              <w:t>Applicant</w:t>
            </w:r>
            <w:r w:rsidRPr="003B3E13">
              <w:rPr>
                <w:lang w:val="en-US"/>
              </w:rPr>
              <w:br/>
            </w:r>
          </w:p>
          <w:p w:rsidR="00565A3D" w:rsidRPr="003B3E13" w:rsidRDefault="00901B0F">
            <w:pPr>
              <w:pStyle w:val="SCCLsocVersus"/>
              <w:rPr>
                <w:lang w:val="en-US"/>
              </w:rPr>
            </w:pPr>
            <w:r w:rsidRPr="003B3E13">
              <w:rPr>
                <w:lang w:val="en-US"/>
              </w:rPr>
              <w:t>- and -</w:t>
            </w:r>
            <w:r w:rsidRPr="003B3E13">
              <w:rPr>
                <w:lang w:val="en-US"/>
              </w:rPr>
              <w:br/>
            </w:r>
          </w:p>
          <w:p w:rsidR="00565A3D" w:rsidRDefault="00901B0F">
            <w:pPr>
              <w:pStyle w:val="SCCLsocParty"/>
              <w:rPr>
                <w:lang w:val="en-US"/>
              </w:rPr>
            </w:pPr>
            <w:r w:rsidRPr="003B3E13">
              <w:rPr>
                <w:lang w:val="en-US"/>
              </w:rPr>
              <w:t>Attorney General of Quebec</w:t>
            </w:r>
          </w:p>
          <w:p w:rsidR="006B5280" w:rsidRPr="006B5280" w:rsidRDefault="006B5280" w:rsidP="006B5280">
            <w:pPr>
              <w:rPr>
                <w:lang w:val="en-US"/>
              </w:rPr>
            </w:pPr>
          </w:p>
          <w:p w:rsidR="006B5280" w:rsidRPr="006B5280" w:rsidRDefault="00901B0F" w:rsidP="006B5280">
            <w:pPr>
              <w:pStyle w:val="SCCLsocPartyRole"/>
              <w:rPr>
                <w:lang w:val="en-US"/>
              </w:rPr>
            </w:pPr>
            <w:r w:rsidRPr="003B3E13">
              <w:rPr>
                <w:lang w:val="en-US"/>
              </w:rPr>
              <w:t>Respondent</w:t>
            </w:r>
          </w:p>
        </w:tc>
      </w:tr>
      <w:tr w:rsidR="00824412" w:rsidRPr="003B3E13" w:rsidTr="001F68CA">
        <w:tc>
          <w:tcPr>
            <w:tcW w:w="2367" w:type="pct"/>
            <w:vAlign w:val="center"/>
          </w:tcPr>
          <w:p w:rsidR="006B5280" w:rsidRDefault="006B5280" w:rsidP="006B5280">
            <w:pPr>
              <w:pStyle w:val="SCCLsocVersus"/>
            </w:pPr>
          </w:p>
          <w:p w:rsidR="006B5280" w:rsidRDefault="006B5280" w:rsidP="006B5280">
            <w:pPr>
              <w:pStyle w:val="SCCLsocVersus"/>
            </w:pPr>
            <w:r>
              <w:t>- et -</w:t>
            </w:r>
            <w:r>
              <w:br/>
            </w:r>
          </w:p>
          <w:p w:rsidR="006B5280" w:rsidRDefault="006B5280" w:rsidP="006B5280">
            <w:pPr>
              <w:jc w:val="center"/>
            </w:pPr>
            <w:r>
              <w:t>Tribunal administratif du Québec</w:t>
            </w:r>
          </w:p>
          <w:p w:rsidR="006B5280" w:rsidRDefault="006B5280" w:rsidP="006B5280">
            <w:pPr>
              <w:jc w:val="center"/>
            </w:pPr>
          </w:p>
          <w:p w:rsidR="006B5280" w:rsidRPr="006B5280" w:rsidRDefault="006B5280" w:rsidP="006B5280">
            <w:pPr>
              <w:jc w:val="center"/>
            </w:pPr>
            <w:r>
              <w:t>Intervenant</w:t>
            </w:r>
          </w:p>
          <w:p w:rsidR="00824412" w:rsidRPr="006B5280" w:rsidRDefault="00824412" w:rsidP="00375294"/>
        </w:tc>
        <w:tc>
          <w:tcPr>
            <w:tcW w:w="398" w:type="pct"/>
            <w:vAlign w:val="center"/>
          </w:tcPr>
          <w:p w:rsidR="00824412" w:rsidRPr="006B5280" w:rsidRDefault="00824412" w:rsidP="00375294"/>
        </w:tc>
        <w:tc>
          <w:tcPr>
            <w:tcW w:w="2234" w:type="pct"/>
            <w:vAlign w:val="center"/>
          </w:tcPr>
          <w:p w:rsidR="006B5280" w:rsidRPr="006B5280" w:rsidRDefault="006B5280" w:rsidP="006B5280">
            <w:pPr>
              <w:pStyle w:val="SCCLsocVersus"/>
            </w:pPr>
            <w:r w:rsidRPr="006B5280">
              <w:t>- and -</w:t>
            </w:r>
            <w:r w:rsidRPr="006B5280">
              <w:br/>
            </w:r>
          </w:p>
          <w:p w:rsidR="00824412" w:rsidRPr="005E08EE" w:rsidRDefault="006B5280" w:rsidP="006B5280">
            <w:pPr>
              <w:jc w:val="center"/>
            </w:pPr>
            <w:r w:rsidRPr="005E08EE">
              <w:t>Tribunal administratif du Québec</w:t>
            </w:r>
          </w:p>
          <w:p w:rsidR="006B5280" w:rsidRPr="005E08EE" w:rsidRDefault="006B5280" w:rsidP="006B5280">
            <w:pPr>
              <w:jc w:val="center"/>
            </w:pPr>
          </w:p>
          <w:p w:rsidR="006B5280" w:rsidRPr="006B5280" w:rsidRDefault="006B5280" w:rsidP="006B5280">
            <w:pPr>
              <w:jc w:val="center"/>
            </w:pPr>
            <w:r w:rsidRPr="005E08EE">
              <w:t>Intervener</w:t>
            </w:r>
          </w:p>
        </w:tc>
      </w:tr>
      <w:tr w:rsidR="00824412" w:rsidRPr="00815F8C" w:rsidTr="001F68CA">
        <w:tc>
          <w:tcPr>
            <w:tcW w:w="2367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B3E13" w:rsidP="00F50DD8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500-09-018743-088</w:t>
            </w:r>
            <w:r w:rsidR="0027081E" w:rsidRPr="001E26DB">
              <w:t xml:space="preserve">, </w:t>
            </w:r>
            <w:r w:rsidR="003669BA">
              <w:t xml:space="preserve">2010 QCCA 1626, </w:t>
            </w:r>
            <w:r w:rsidR="0027081E" w:rsidRPr="001E26DB">
              <w:t xml:space="preserve">daté du </w:t>
            </w:r>
            <w:r w:rsidR="0027081E">
              <w:t>13 septembre 2010</w:t>
            </w:r>
            <w:r w:rsidR="0027081E" w:rsidRPr="001E26DB">
              <w:t xml:space="preserve">, est </w:t>
            </w:r>
            <w:r w:rsidR="001F68CA">
              <w:t>rejetée avec dépens</w:t>
            </w:r>
            <w:r w:rsidR="003669BA">
              <w:t xml:space="preserve"> en faveur de l’intimé</w:t>
            </w:r>
            <w:r w:rsidR="0027081E" w:rsidRPr="001E26DB">
              <w:t>.</w:t>
            </w:r>
          </w:p>
        </w:tc>
        <w:tc>
          <w:tcPr>
            <w:tcW w:w="398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3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F68CA" w:rsidP="00F50DD8">
            <w:pPr>
              <w:tabs>
                <w:tab w:val="left" w:pos="4368"/>
              </w:tabs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US"/>
              </w:rPr>
              <w:t xml:space="preserve">Court of Appeal of Quebec </w:t>
            </w:r>
            <w:r w:rsidR="0027081E" w:rsidRPr="003B3E13">
              <w:rPr>
                <w:lang w:val="en-US"/>
              </w:rPr>
              <w:t>(Montréal)</w:t>
            </w:r>
            <w:r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>Number</w:t>
            </w:r>
            <w:r>
              <w:rPr>
                <w:lang w:val="en-CA"/>
              </w:rPr>
              <w:t xml:space="preserve"> </w:t>
            </w:r>
            <w:r w:rsidR="0027081E" w:rsidRPr="003B3E13">
              <w:rPr>
                <w:lang w:val="en-US"/>
              </w:rPr>
              <w:t>500-09-018743-088</w:t>
            </w:r>
            <w:r w:rsidR="0027081E" w:rsidRPr="001E26DB">
              <w:rPr>
                <w:lang w:val="en-CA"/>
              </w:rPr>
              <w:t xml:space="preserve">, </w:t>
            </w:r>
            <w:r w:rsidR="003669BA">
              <w:rPr>
                <w:lang w:val="en-CA"/>
              </w:rPr>
              <w:t xml:space="preserve">2010 QCCA 1626,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B3E13">
              <w:rPr>
                <w:lang w:val="en-US"/>
              </w:rPr>
              <w:t>September 13,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3669BA">
              <w:rPr>
                <w:lang w:val="en-CA"/>
              </w:rPr>
              <w:t xml:space="preserve"> to the respondent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1F68CA" w:rsidRPr="003B3E13" w:rsidRDefault="001F68CA" w:rsidP="00655333">
      <w:pPr>
        <w:jc w:val="center"/>
        <w:rPr>
          <w:lang w:val="en-US"/>
        </w:rPr>
      </w:pPr>
      <w:bookmarkStart w:id="1" w:name="_GoBack"/>
      <w:bookmarkEnd w:id="1"/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F68CA">
      <w:pPr>
        <w:jc w:val="center"/>
        <w:rPr>
          <w:lang w:val="en-US"/>
        </w:rPr>
      </w:pPr>
      <w:proofErr w:type="gramStart"/>
      <w:r w:rsidRPr="003B3E13">
        <w:rPr>
          <w:lang w:val="en-US"/>
        </w:rPr>
        <w:t>J.S.C.C.</w:t>
      </w:r>
      <w:proofErr w:type="gramEnd"/>
      <w:r w:rsidR="001F68C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6F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6F59" w:rsidRPr="00417FB7">
      <w:rPr>
        <w:szCs w:val="24"/>
      </w:rPr>
      <w:fldChar w:fldCharType="separate"/>
    </w:r>
    <w:r w:rsidR="00815F8C">
      <w:rPr>
        <w:noProof/>
        <w:szCs w:val="24"/>
      </w:rPr>
      <w:t>2</w:t>
    </w:r>
    <w:r w:rsidR="00356F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68C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56F59"/>
    <w:rsid w:val="003669BA"/>
    <w:rsid w:val="00374E7D"/>
    <w:rsid w:val="00375294"/>
    <w:rsid w:val="00382FEC"/>
    <w:rsid w:val="00385A90"/>
    <w:rsid w:val="003A37CF"/>
    <w:rsid w:val="003B1F3D"/>
    <w:rsid w:val="003B3E13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65A3D"/>
    <w:rsid w:val="005873F3"/>
    <w:rsid w:val="00587869"/>
    <w:rsid w:val="005918AD"/>
    <w:rsid w:val="005B69C9"/>
    <w:rsid w:val="005E08EE"/>
    <w:rsid w:val="00614908"/>
    <w:rsid w:val="0064672C"/>
    <w:rsid w:val="00650109"/>
    <w:rsid w:val="00655333"/>
    <w:rsid w:val="006935F7"/>
    <w:rsid w:val="006B5280"/>
    <w:rsid w:val="006C1359"/>
    <w:rsid w:val="00701109"/>
    <w:rsid w:val="007372EA"/>
    <w:rsid w:val="00744514"/>
    <w:rsid w:val="0076003F"/>
    <w:rsid w:val="00763E51"/>
    <w:rsid w:val="0079129C"/>
    <w:rsid w:val="007A54CC"/>
    <w:rsid w:val="007F41D5"/>
    <w:rsid w:val="00815F8C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1B0F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0DD8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F2E9-51EB-45A4-99A4-75E5770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2011-02-04T14:22:00Z</dcterms:created>
  <dcterms:modified xsi:type="dcterms:W3CDTF">2011-03-14T18:30:00Z</dcterms:modified>
</cp:coreProperties>
</file>