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34229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8028C8" w:rsidP="008262A3">
            <w:r>
              <w:t xml:space="preserve">October 20, </w:t>
            </w:r>
            <w:r w:rsidR="00EE2A6C">
              <w:t>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98174B">
            <w:pPr>
              <w:rPr>
                <w:lang w:val="en-US"/>
              </w:rPr>
            </w:pPr>
            <w:r>
              <w:t xml:space="preserve">Le </w:t>
            </w:r>
            <w:r w:rsidR="008028C8">
              <w:t xml:space="preserve">20 </w:t>
            </w:r>
            <w:proofErr w:type="spellStart"/>
            <w:r w:rsidR="008028C8">
              <w:t>octobre</w:t>
            </w:r>
            <w:proofErr w:type="spellEnd"/>
            <w:r w:rsidR="008028C8">
              <w:t xml:space="preserve"> </w:t>
            </w:r>
            <w:r>
              <w:t>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16ACC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Binnie, Abella and Rothstein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98174B">
              <w:rPr>
                <w:lang w:val="fr-CA"/>
              </w:rPr>
              <w:t>Les juges Binnie, Abella et Rothstein</w:t>
            </w:r>
          </w:p>
        </w:tc>
      </w:tr>
      <w:tr w:rsidR="00C2612E" w:rsidRPr="00316ACC" w:rsidTr="00F47372">
        <w:tc>
          <w:tcPr>
            <w:tcW w:w="2269" w:type="pct"/>
          </w:tcPr>
          <w:p w:rsidR="00C2612E" w:rsidRPr="0098174B" w:rsidRDefault="00C2612E" w:rsidP="008262A3">
            <w:pPr>
              <w:rPr>
                <w:lang w:val="fr-CA"/>
              </w:rPr>
            </w:pPr>
          </w:p>
          <w:p w:rsidR="00C2612E" w:rsidRPr="0098174B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98174B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316ACC" w:rsidTr="00F47372">
        <w:tc>
          <w:tcPr>
            <w:tcW w:w="2269" w:type="pct"/>
            <w:vAlign w:val="center"/>
          </w:tcPr>
          <w:p w:rsidR="00C076FD" w:rsidRDefault="0098174B">
            <w:pPr>
              <w:pStyle w:val="SCCLsocPrefix"/>
            </w:pPr>
            <w:r>
              <w:t>BETWEEN:</w:t>
            </w:r>
            <w:r>
              <w:br/>
            </w:r>
          </w:p>
          <w:p w:rsidR="00C076FD" w:rsidRDefault="0098174B">
            <w:pPr>
              <w:pStyle w:val="SCCLsocParty"/>
            </w:pPr>
            <w:r>
              <w:t>Ivana Levkovic</w:t>
            </w:r>
            <w:r>
              <w:br/>
            </w:r>
          </w:p>
          <w:p w:rsidR="00C076FD" w:rsidRDefault="0098174B">
            <w:pPr>
              <w:pStyle w:val="SCCLsocPartyRole"/>
            </w:pPr>
            <w:r>
              <w:t>Applicant</w:t>
            </w:r>
            <w:r>
              <w:br/>
            </w:r>
          </w:p>
          <w:p w:rsidR="00C076FD" w:rsidRDefault="0098174B">
            <w:pPr>
              <w:pStyle w:val="SCCLsocVersus"/>
            </w:pPr>
            <w:r>
              <w:t>- and -</w:t>
            </w:r>
            <w:r>
              <w:br/>
            </w:r>
          </w:p>
          <w:p w:rsidR="00C076FD" w:rsidRDefault="0098174B">
            <w:pPr>
              <w:pStyle w:val="SCCLsocParty"/>
            </w:pPr>
            <w:r>
              <w:t>Her Majesty the Queen</w:t>
            </w:r>
            <w:r>
              <w:br/>
            </w:r>
          </w:p>
          <w:p w:rsidR="00C076FD" w:rsidRDefault="0098174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C076FD" w:rsidRPr="0098174B" w:rsidRDefault="0098174B">
            <w:pPr>
              <w:pStyle w:val="SCCLsocPrefix"/>
              <w:rPr>
                <w:lang w:val="fr-CA"/>
              </w:rPr>
            </w:pPr>
            <w:r w:rsidRPr="0098174B">
              <w:rPr>
                <w:lang w:val="fr-CA"/>
              </w:rPr>
              <w:t>ENTRE :</w:t>
            </w:r>
            <w:r w:rsidRPr="0098174B">
              <w:rPr>
                <w:lang w:val="fr-CA"/>
              </w:rPr>
              <w:br/>
            </w:r>
          </w:p>
          <w:p w:rsidR="00C076FD" w:rsidRPr="0098174B" w:rsidRDefault="0098174B">
            <w:pPr>
              <w:pStyle w:val="SCCLsocParty"/>
              <w:rPr>
                <w:lang w:val="fr-CA"/>
              </w:rPr>
            </w:pPr>
            <w:r w:rsidRPr="0098174B">
              <w:rPr>
                <w:lang w:val="fr-CA"/>
              </w:rPr>
              <w:t xml:space="preserve">Ivana </w:t>
            </w:r>
            <w:proofErr w:type="spellStart"/>
            <w:r w:rsidRPr="0098174B">
              <w:rPr>
                <w:lang w:val="fr-CA"/>
              </w:rPr>
              <w:t>Levkovic</w:t>
            </w:r>
            <w:proofErr w:type="spellEnd"/>
            <w:r w:rsidRPr="0098174B">
              <w:rPr>
                <w:lang w:val="fr-CA"/>
              </w:rPr>
              <w:br/>
            </w:r>
          </w:p>
          <w:p w:rsidR="00C076FD" w:rsidRPr="0098174B" w:rsidRDefault="0098174B">
            <w:pPr>
              <w:pStyle w:val="SCCLsocPartyRole"/>
              <w:rPr>
                <w:lang w:val="fr-CA"/>
              </w:rPr>
            </w:pPr>
            <w:r w:rsidRPr="0098174B">
              <w:rPr>
                <w:lang w:val="fr-CA"/>
              </w:rPr>
              <w:t>Demanderesse</w:t>
            </w:r>
            <w:r w:rsidRPr="0098174B">
              <w:rPr>
                <w:lang w:val="fr-CA"/>
              </w:rPr>
              <w:br/>
            </w:r>
          </w:p>
          <w:p w:rsidR="00C076FD" w:rsidRPr="0098174B" w:rsidRDefault="0098174B">
            <w:pPr>
              <w:pStyle w:val="SCCLsocVersus"/>
              <w:rPr>
                <w:lang w:val="fr-CA"/>
              </w:rPr>
            </w:pPr>
            <w:r w:rsidRPr="0098174B">
              <w:rPr>
                <w:lang w:val="fr-CA"/>
              </w:rPr>
              <w:t>- et -</w:t>
            </w:r>
            <w:r w:rsidRPr="0098174B">
              <w:rPr>
                <w:lang w:val="fr-CA"/>
              </w:rPr>
              <w:br/>
            </w:r>
          </w:p>
          <w:p w:rsidR="00C076FD" w:rsidRPr="0098174B" w:rsidRDefault="0098174B">
            <w:pPr>
              <w:pStyle w:val="SCCLsocParty"/>
              <w:rPr>
                <w:lang w:val="fr-CA"/>
              </w:rPr>
            </w:pPr>
            <w:r w:rsidRPr="0098174B">
              <w:rPr>
                <w:lang w:val="fr-CA"/>
              </w:rPr>
              <w:t>Sa Majesté la Reine</w:t>
            </w:r>
            <w:r w:rsidRPr="0098174B">
              <w:rPr>
                <w:lang w:val="fr-CA"/>
              </w:rPr>
              <w:br/>
            </w:r>
          </w:p>
          <w:p w:rsidR="00C076FD" w:rsidRPr="008028C8" w:rsidRDefault="0098174B" w:rsidP="0098174B">
            <w:pPr>
              <w:pStyle w:val="SCCLsocPartyRole"/>
              <w:rPr>
                <w:lang w:val="fr-CA"/>
              </w:rPr>
            </w:pPr>
            <w:r w:rsidRPr="008028C8">
              <w:rPr>
                <w:lang w:val="fr-CA"/>
              </w:rPr>
              <w:t>Intimée</w:t>
            </w:r>
          </w:p>
        </w:tc>
      </w:tr>
      <w:tr w:rsidR="00824412" w:rsidRPr="00316ACC" w:rsidTr="00F47372">
        <w:tc>
          <w:tcPr>
            <w:tcW w:w="2269" w:type="pct"/>
            <w:vAlign w:val="center"/>
          </w:tcPr>
          <w:p w:rsidR="00824412" w:rsidRPr="008028C8" w:rsidRDefault="00824412" w:rsidP="00375294">
            <w:pPr>
              <w:rPr>
                <w:lang w:val="fr-CA"/>
              </w:rPr>
            </w:pPr>
          </w:p>
          <w:p w:rsidR="00824412" w:rsidRPr="008028C8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vAlign w:val="center"/>
          </w:tcPr>
          <w:p w:rsidR="00824412" w:rsidRPr="008028C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vAlign w:val="center"/>
          </w:tcPr>
          <w:p w:rsidR="00824412" w:rsidRPr="008028C8" w:rsidRDefault="00824412" w:rsidP="00B408F8">
            <w:pPr>
              <w:rPr>
                <w:lang w:val="fr-CA"/>
              </w:rPr>
            </w:pPr>
          </w:p>
        </w:tc>
      </w:tr>
      <w:tr w:rsidR="00824412" w:rsidRPr="00316ACC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292804">
            <w:pPr>
              <w:jc w:val="both"/>
            </w:pPr>
            <w:r w:rsidRPr="006E7BAE">
              <w:t xml:space="preserve">The </w:t>
            </w:r>
            <w:r w:rsidR="0098174B">
              <w:t>motion</w:t>
            </w:r>
            <w:r w:rsidR="00292804">
              <w:t>s</w:t>
            </w:r>
            <w:r w:rsidR="0098174B">
              <w:t xml:space="preserve"> for an extension of time to serve and file the </w:t>
            </w:r>
            <w:r w:rsidRPr="006E7BAE">
              <w:t>app</w:t>
            </w:r>
            <w:r w:rsidR="00011960" w:rsidRPr="006E7BAE">
              <w:t xml:space="preserve">lication for leave to appeal </w:t>
            </w:r>
            <w:r w:rsidR="00292804">
              <w:t>and the applicant’s reply are</w:t>
            </w:r>
            <w:r w:rsidR="0098174B">
              <w:t xml:space="preserve"> granted.  The application for leave to appeal </w:t>
            </w:r>
            <w:r w:rsidR="00011960" w:rsidRPr="006E7BAE">
              <w:t>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>, Number</w:t>
            </w:r>
            <w:r>
              <w:t xml:space="preserve"> C49523</w:t>
            </w:r>
            <w:r w:rsidRPr="006E7BAE">
              <w:t xml:space="preserve">, </w:t>
            </w:r>
            <w:r w:rsidR="00292804">
              <w:t xml:space="preserve">2010 ONCA 830, </w:t>
            </w:r>
            <w:r w:rsidRPr="006E7BAE">
              <w:t xml:space="preserve">dated </w:t>
            </w:r>
            <w:r>
              <w:t>December 7, 2010</w:t>
            </w:r>
            <w:r w:rsidR="0098174B">
              <w:t>,</w:t>
            </w:r>
            <w:r w:rsidRPr="006E7BAE">
              <w:t xml:space="preserve"> is</w:t>
            </w:r>
            <w:r w:rsidR="0098174B">
              <w:t xml:space="preserve"> </w:t>
            </w:r>
            <w:r w:rsidR="008028C8">
              <w:t>granted without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29280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292804">
              <w:rPr>
                <w:lang w:val="fr-CA"/>
              </w:rPr>
              <w:t>es</w:t>
            </w:r>
            <w:r w:rsidR="00011960" w:rsidRPr="006E7BAE">
              <w:rPr>
                <w:lang w:val="fr-CA"/>
              </w:rPr>
              <w:t xml:space="preserve"> </w:t>
            </w:r>
            <w:r w:rsidR="0098174B">
              <w:rPr>
                <w:lang w:val="fr-CA"/>
              </w:rPr>
              <w:t>requête</w:t>
            </w:r>
            <w:r w:rsidR="00805C0E">
              <w:rPr>
                <w:lang w:val="fr-CA"/>
              </w:rPr>
              <w:t>s</w:t>
            </w:r>
            <w:r w:rsidR="0098174B">
              <w:rPr>
                <w:lang w:val="fr-CA"/>
              </w:rPr>
              <w:t xml:space="preserve"> en prorogation du délai de signification et de dépôt de la </w:t>
            </w:r>
            <w:r w:rsidR="00011960" w:rsidRPr="006E7BAE">
              <w:rPr>
                <w:lang w:val="fr-CA"/>
              </w:rPr>
              <w:t xml:space="preserve">demande d’autorisation d’appel </w:t>
            </w:r>
            <w:r w:rsidR="00292804">
              <w:rPr>
                <w:lang w:val="fr-CA"/>
              </w:rPr>
              <w:t>et de la réplique</w:t>
            </w:r>
            <w:r w:rsidR="00637882">
              <w:rPr>
                <w:lang w:val="fr-CA"/>
              </w:rPr>
              <w:t xml:space="preserve"> de la demanderesse</w:t>
            </w:r>
            <w:r w:rsidR="00292804">
              <w:rPr>
                <w:lang w:val="fr-CA"/>
              </w:rPr>
              <w:t xml:space="preserve"> sont accordées</w:t>
            </w:r>
            <w:r w:rsidR="0098174B">
              <w:rPr>
                <w:lang w:val="fr-CA"/>
              </w:rPr>
              <w:t xml:space="preserve">.  La demande d’autorisation d’appel </w:t>
            </w:r>
            <w:r w:rsidR="00011960" w:rsidRPr="006E7BAE">
              <w:rPr>
                <w:lang w:val="fr-CA"/>
              </w:rPr>
              <w:t>de l’arrêt de la</w:t>
            </w:r>
            <w:r w:rsidRPr="006E7BAE">
              <w:rPr>
                <w:lang w:val="fr-CA"/>
              </w:rPr>
              <w:t xml:space="preserve"> </w:t>
            </w:r>
            <w:r w:rsidRPr="0098174B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="00292804">
              <w:rPr>
                <w:lang w:val="fr-CA"/>
              </w:rPr>
              <w:t xml:space="preserve"> </w:t>
            </w:r>
            <w:r w:rsidRPr="0098174B">
              <w:rPr>
                <w:lang w:val="fr-CA"/>
              </w:rPr>
              <w:t>C49523</w:t>
            </w:r>
            <w:r w:rsidRPr="006E7BAE">
              <w:rPr>
                <w:lang w:val="fr-CA"/>
              </w:rPr>
              <w:t xml:space="preserve">, </w:t>
            </w:r>
            <w:r w:rsidR="00292804">
              <w:rPr>
                <w:lang w:val="fr-CA"/>
              </w:rPr>
              <w:t xml:space="preserve">2010 ONCA 830,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8174B">
              <w:rPr>
                <w:lang w:val="fr-CA"/>
              </w:rPr>
              <w:t>7 décembre 2010</w:t>
            </w:r>
            <w:r w:rsidRPr="006E7BAE">
              <w:rPr>
                <w:lang w:val="fr-CA"/>
              </w:rPr>
              <w:t xml:space="preserve">, est </w:t>
            </w:r>
            <w:r w:rsidR="008028C8">
              <w:rPr>
                <w:lang w:val="fr-CA"/>
              </w:rPr>
              <w:t>accordée sans dépens.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98174B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98174B" w:rsidRPr="00D83B8C">
        <w:rPr>
          <w:lang w:val="fr-CA"/>
        </w:rPr>
        <w:t xml:space="preserve"> </w:t>
      </w: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8B033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8B033C" w:rsidRPr="00417FB7">
      <w:rPr>
        <w:szCs w:val="24"/>
      </w:rPr>
      <w:fldChar w:fldCharType="separate"/>
    </w:r>
    <w:r w:rsidR="0098174B">
      <w:rPr>
        <w:noProof/>
        <w:szCs w:val="24"/>
      </w:rPr>
      <w:t>4</w:t>
    </w:r>
    <w:r w:rsidR="008B033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34229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213AA"/>
    <w:rsid w:val="0016666F"/>
    <w:rsid w:val="00167C15"/>
    <w:rsid w:val="001D0116"/>
    <w:rsid w:val="001D4323"/>
    <w:rsid w:val="00203642"/>
    <w:rsid w:val="002523DE"/>
    <w:rsid w:val="002568D3"/>
    <w:rsid w:val="0027284C"/>
    <w:rsid w:val="00292804"/>
    <w:rsid w:val="002B5FA6"/>
    <w:rsid w:val="0031097F"/>
    <w:rsid w:val="0031165C"/>
    <w:rsid w:val="00316AC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376CD"/>
    <w:rsid w:val="004943CF"/>
    <w:rsid w:val="004956DA"/>
    <w:rsid w:val="004D4658"/>
    <w:rsid w:val="00563E2C"/>
    <w:rsid w:val="00587869"/>
    <w:rsid w:val="005B2761"/>
    <w:rsid w:val="00612913"/>
    <w:rsid w:val="00614908"/>
    <w:rsid w:val="00637882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028C8"/>
    <w:rsid w:val="00805C0E"/>
    <w:rsid w:val="00816B78"/>
    <w:rsid w:val="00824412"/>
    <w:rsid w:val="008262A3"/>
    <w:rsid w:val="00830BBE"/>
    <w:rsid w:val="0086042A"/>
    <w:rsid w:val="008763A3"/>
    <w:rsid w:val="008813BC"/>
    <w:rsid w:val="008A153F"/>
    <w:rsid w:val="008B033C"/>
    <w:rsid w:val="008F53F3"/>
    <w:rsid w:val="009305BF"/>
    <w:rsid w:val="00951EF6"/>
    <w:rsid w:val="0096638C"/>
    <w:rsid w:val="00971A08"/>
    <w:rsid w:val="0098174B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076FD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E843-B8A8-44CD-8B78-0E37C8A3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7</cp:revision>
  <dcterms:created xsi:type="dcterms:W3CDTF">2011-09-07T14:53:00Z</dcterms:created>
  <dcterms:modified xsi:type="dcterms:W3CDTF">2011-10-24T14:58:00Z</dcterms:modified>
</cp:coreProperties>
</file>