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33870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A2B26">
            <w:r>
              <w:t xml:space="preserve">February </w:t>
            </w:r>
            <w:r w:rsidR="00FA2B26">
              <w:t>10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A2B26" w:rsidP="00816B78">
            <w:pPr>
              <w:rPr>
                <w:lang w:val="en-US"/>
              </w:rPr>
            </w:pPr>
            <w:r>
              <w:t>Le 10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77C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2B26">
              <w:rPr>
                <w:lang w:val="fr-CA"/>
              </w:rPr>
              <w:t>Les juges Binnie, Fish et Rothstein</w:t>
            </w:r>
          </w:p>
        </w:tc>
      </w:tr>
      <w:tr w:rsidR="00C2612E" w:rsidRPr="002B77CB" w:rsidTr="00F47372">
        <w:tc>
          <w:tcPr>
            <w:tcW w:w="2269" w:type="pct"/>
          </w:tcPr>
          <w:p w:rsidR="00C2612E" w:rsidRPr="00FA2B26" w:rsidRDefault="00C2612E" w:rsidP="008262A3">
            <w:pPr>
              <w:rPr>
                <w:lang w:val="fr-CA"/>
              </w:rPr>
            </w:pPr>
          </w:p>
          <w:p w:rsidR="00C2612E" w:rsidRPr="00FA2B2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A2B2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E02BF" w:rsidRDefault="00FA2B26">
            <w:pPr>
              <w:pStyle w:val="SCCLsocPrefix"/>
            </w:pPr>
            <w:r>
              <w:t>BETWEEN:</w:t>
            </w:r>
            <w:r>
              <w:br/>
            </w:r>
          </w:p>
          <w:p w:rsidR="006E02BF" w:rsidRDefault="00FA2B26">
            <w:pPr>
              <w:pStyle w:val="SCCLsocParty"/>
            </w:pPr>
            <w:r>
              <w:t>Novopharm Limited</w:t>
            </w:r>
            <w:r>
              <w:br/>
            </w:r>
          </w:p>
          <w:p w:rsidR="006E02BF" w:rsidRDefault="00FA2B26">
            <w:pPr>
              <w:pStyle w:val="SCCLsocPartyRole"/>
            </w:pPr>
            <w:r>
              <w:t>Applicant</w:t>
            </w:r>
            <w:r>
              <w:br/>
            </w:r>
          </w:p>
          <w:p w:rsidR="006E02BF" w:rsidRDefault="00FA2B26">
            <w:pPr>
              <w:pStyle w:val="SCCLsocVersus"/>
            </w:pPr>
            <w:r>
              <w:t>- and -</w:t>
            </w:r>
            <w:r>
              <w:br/>
            </w:r>
          </w:p>
          <w:p w:rsidR="006E02BF" w:rsidRDefault="00FA2B26">
            <w:pPr>
              <w:pStyle w:val="SCCLsocParty"/>
            </w:pPr>
            <w:r>
              <w:t>Eli Lilly Canada Inc., Eli Lilly and Company, Eli Lilly and Company Limited and Eli Lilly SA</w:t>
            </w:r>
            <w:r>
              <w:br/>
            </w:r>
          </w:p>
          <w:p w:rsidR="006E02BF" w:rsidRDefault="00FA2B2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E02BF" w:rsidRPr="00FA2B26" w:rsidRDefault="00FA2B26">
            <w:pPr>
              <w:pStyle w:val="SCCLsocPrefix"/>
              <w:rPr>
                <w:lang w:val="fr-CA"/>
              </w:rPr>
            </w:pPr>
            <w:r w:rsidRPr="00FA2B26">
              <w:rPr>
                <w:lang w:val="fr-CA"/>
              </w:rPr>
              <w:t>ENTRE :</w:t>
            </w:r>
            <w:r w:rsidRPr="00FA2B26">
              <w:rPr>
                <w:lang w:val="fr-CA"/>
              </w:rPr>
              <w:br/>
            </w:r>
          </w:p>
          <w:p w:rsidR="006E02BF" w:rsidRPr="00FA2B26" w:rsidRDefault="00FA2B26">
            <w:pPr>
              <w:pStyle w:val="SCCLsocParty"/>
              <w:rPr>
                <w:lang w:val="fr-CA"/>
              </w:rPr>
            </w:pPr>
            <w:proofErr w:type="spellStart"/>
            <w:r w:rsidRPr="00FA2B26">
              <w:rPr>
                <w:lang w:val="fr-CA"/>
              </w:rPr>
              <w:t>Novopharm</w:t>
            </w:r>
            <w:proofErr w:type="spellEnd"/>
            <w:r w:rsidRPr="00FA2B26">
              <w:rPr>
                <w:lang w:val="fr-CA"/>
              </w:rPr>
              <w:t xml:space="preserve"> Limited</w:t>
            </w:r>
            <w:r w:rsidRPr="00FA2B26">
              <w:rPr>
                <w:lang w:val="fr-CA"/>
              </w:rPr>
              <w:br/>
            </w:r>
          </w:p>
          <w:p w:rsidR="006E02BF" w:rsidRPr="00FA2B26" w:rsidRDefault="00FA2B26">
            <w:pPr>
              <w:pStyle w:val="SCCLsocPartyRole"/>
              <w:rPr>
                <w:lang w:val="fr-CA"/>
              </w:rPr>
            </w:pPr>
            <w:r w:rsidRPr="00FA2B26">
              <w:rPr>
                <w:lang w:val="fr-CA"/>
              </w:rPr>
              <w:t>Demanderesse</w:t>
            </w:r>
            <w:r w:rsidRPr="00FA2B26">
              <w:rPr>
                <w:lang w:val="fr-CA"/>
              </w:rPr>
              <w:br/>
            </w:r>
          </w:p>
          <w:p w:rsidR="006E02BF" w:rsidRPr="00B420F1" w:rsidRDefault="00FA2B26">
            <w:pPr>
              <w:pStyle w:val="SCCLsocVersus"/>
              <w:rPr>
                <w:lang w:val="fr-CA"/>
              </w:rPr>
            </w:pPr>
            <w:r w:rsidRPr="00B420F1">
              <w:rPr>
                <w:lang w:val="fr-CA"/>
              </w:rPr>
              <w:t>- et -</w:t>
            </w:r>
            <w:r w:rsidRPr="00B420F1">
              <w:rPr>
                <w:lang w:val="fr-CA"/>
              </w:rPr>
              <w:br/>
            </w:r>
          </w:p>
          <w:p w:rsidR="006E02BF" w:rsidRDefault="00453333" w:rsidP="00453333">
            <w:pPr>
              <w:pStyle w:val="SCCLsocParty"/>
            </w:pPr>
            <w:r w:rsidRPr="002B77CB">
              <w:rPr>
                <w:lang w:val="fr-CA"/>
              </w:rPr>
              <w:t xml:space="preserve"> </w:t>
            </w:r>
            <w:r w:rsidR="00FA2B26">
              <w:t>Eli Lilly Canada Inc., Eli Lilly and Company, Eli Lilly and Company Limited et Eli Lilly SA</w:t>
            </w:r>
            <w:r w:rsidR="00FA2B26">
              <w:br/>
            </w:r>
          </w:p>
          <w:p w:rsidR="006E02BF" w:rsidRDefault="00FA2B26" w:rsidP="00FA2B26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B77C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A2B26">
            <w:pPr>
              <w:jc w:val="both"/>
            </w:pPr>
            <w:r w:rsidRPr="006E7BAE">
              <w:t>The</w:t>
            </w:r>
            <w:r w:rsidR="00453333">
              <w:t xml:space="preserve"> motions for leave to intervene by the Canadian Generic Pharmaceutical Association and the Coalition of Concerned Citizens are dismissed with costs to the respondents. 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A-454-09, 2010 FCA 197</w:t>
            </w:r>
            <w:r w:rsidRPr="006E7BAE">
              <w:t xml:space="preserve">, dated </w:t>
            </w:r>
            <w:r>
              <w:t>July 21, 2010</w:t>
            </w:r>
            <w:r w:rsidR="00FA2B26">
              <w:t>,</w:t>
            </w:r>
            <w:r w:rsidRPr="006E7BAE">
              <w:t xml:space="preserve"> is </w:t>
            </w:r>
            <w:r w:rsidR="00B420F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53333" w:rsidP="00FA2B2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pour permission d’intervenir de l’Association canadienne du médicament générique et de la Coalition of </w:t>
            </w:r>
            <w:proofErr w:type="spellStart"/>
            <w:r>
              <w:rPr>
                <w:lang w:val="fr-CA"/>
              </w:rPr>
              <w:t>Concerned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Citizens</w:t>
            </w:r>
            <w:proofErr w:type="spellEnd"/>
            <w:r>
              <w:rPr>
                <w:lang w:val="fr-CA"/>
              </w:rPr>
              <w:t xml:space="preserve"> sont rejetées avec dépens en faveur des intimées.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A2B26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A2B26">
              <w:rPr>
                <w:lang w:val="fr-CA"/>
              </w:rPr>
              <w:t xml:space="preserve">A-454-09, 2010 </w:t>
            </w:r>
            <w:r w:rsidR="00FA2B26">
              <w:rPr>
                <w:lang w:val="fr-CA"/>
              </w:rPr>
              <w:t>CAF</w:t>
            </w:r>
            <w:r w:rsidR="00824412" w:rsidRPr="00FA2B26">
              <w:rPr>
                <w:lang w:val="fr-CA"/>
              </w:rPr>
              <w:t xml:space="preserve"> 197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A2B26">
              <w:rPr>
                <w:lang w:val="fr-CA"/>
              </w:rPr>
              <w:t>21 juillet 2010</w:t>
            </w:r>
            <w:r w:rsidR="00824412" w:rsidRPr="006E7BAE">
              <w:rPr>
                <w:lang w:val="fr-CA"/>
              </w:rPr>
              <w:t xml:space="preserve">, est </w:t>
            </w:r>
            <w:r w:rsidR="00B420F1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A2B2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A2B2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A2D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A2DAA" w:rsidRPr="00417FB7">
      <w:rPr>
        <w:szCs w:val="24"/>
      </w:rPr>
      <w:fldChar w:fldCharType="separate"/>
    </w:r>
    <w:r w:rsidR="00453333">
      <w:rPr>
        <w:noProof/>
        <w:szCs w:val="24"/>
      </w:rPr>
      <w:t>2</w:t>
    </w:r>
    <w:r w:rsidR="000A2D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2DAA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B77C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3333"/>
    <w:rsid w:val="004943CF"/>
    <w:rsid w:val="004956DA"/>
    <w:rsid w:val="004D4658"/>
    <w:rsid w:val="00563E2C"/>
    <w:rsid w:val="00587869"/>
    <w:rsid w:val="00612913"/>
    <w:rsid w:val="00614908"/>
    <w:rsid w:val="00650109"/>
    <w:rsid w:val="006E02B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20F1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651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B2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0636-284D-48FD-8B44-0FBF88D6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2011-01-27T13:48:00Z</dcterms:created>
  <dcterms:modified xsi:type="dcterms:W3CDTF">2011-02-14T18:04:00Z</dcterms:modified>
</cp:coreProperties>
</file>