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6C" w:rsidRPr="006E7BAE" w:rsidRDefault="009F436C" w:rsidP="00382FEC">
      <w:bookmarkStart w:id="0" w:name="_GoBack"/>
      <w:bookmarkEnd w:id="0"/>
    </w:p>
    <w:p w:rsidR="009F436C" w:rsidRPr="006E7BAE" w:rsidRDefault="003A37CF" w:rsidP="00AE2077">
      <w:pPr>
        <w:jc w:val="right"/>
      </w:pPr>
      <w:r w:rsidRPr="006E7BAE">
        <w:t xml:space="preserve">No. </w:t>
      </w:r>
      <w:r>
        <w:t>34242</w:t>
      </w:r>
      <w:r w:rsidR="0016666F" w:rsidRPr="006E7BAE">
        <w:t>     </w:t>
      </w:r>
    </w:p>
    <w:p w:rsidR="009F436C" w:rsidRPr="006E7BAE" w:rsidRDefault="009F436C" w:rsidP="00382FEC"/>
    <w:p w:rsidR="002568D3" w:rsidRPr="006E7BAE" w:rsidRDefault="002568D3" w:rsidP="00382FEC"/>
    <w:tbl>
      <w:tblPr>
        <w:tblW w:w="5000" w:type="pct"/>
        <w:tblLayout w:type="fixed"/>
        <w:tblCellMar>
          <w:left w:w="29" w:type="dxa"/>
          <w:right w:w="29" w:type="dxa"/>
        </w:tblCellMar>
        <w:tblLook w:val="0000" w:firstRow="0" w:lastRow="0" w:firstColumn="0" w:lastColumn="0" w:noHBand="0" w:noVBand="0"/>
      </w:tblPr>
      <w:tblGrid>
        <w:gridCol w:w="4274"/>
        <w:gridCol w:w="718"/>
        <w:gridCol w:w="4426"/>
      </w:tblGrid>
      <w:tr w:rsidR="00417FB7" w:rsidRPr="006E7BAE" w:rsidTr="00F47372">
        <w:tc>
          <w:tcPr>
            <w:tcW w:w="2269" w:type="pct"/>
          </w:tcPr>
          <w:p w:rsidR="00417FB7" w:rsidRPr="006E7BAE" w:rsidRDefault="00624248" w:rsidP="008262A3">
            <w:r>
              <w:t xml:space="preserve">November </w:t>
            </w:r>
            <w:r w:rsidR="00EE2A6C">
              <w:t>3, 2011</w:t>
            </w:r>
          </w:p>
        </w:tc>
        <w:tc>
          <w:tcPr>
            <w:tcW w:w="381" w:type="pct"/>
          </w:tcPr>
          <w:p w:rsidR="00417FB7" w:rsidRPr="006E7BAE" w:rsidRDefault="00417FB7" w:rsidP="00382FEC"/>
        </w:tc>
        <w:tc>
          <w:tcPr>
            <w:tcW w:w="2350" w:type="pct"/>
          </w:tcPr>
          <w:p w:rsidR="00417FB7" w:rsidRPr="00D83B8C" w:rsidRDefault="00EE2A6C" w:rsidP="00624248">
            <w:pPr>
              <w:rPr>
                <w:lang w:val="en-US"/>
              </w:rPr>
            </w:pPr>
            <w:r>
              <w:t xml:space="preserve">Le 3 </w:t>
            </w:r>
            <w:proofErr w:type="spellStart"/>
            <w:r w:rsidR="00624248">
              <w:t>novembre</w:t>
            </w:r>
            <w:proofErr w:type="spellEnd"/>
            <w:r>
              <w:t xml:space="preserve"> 2011</w:t>
            </w:r>
          </w:p>
        </w:tc>
      </w:tr>
      <w:tr w:rsidR="00E12A51" w:rsidRPr="006E7BAE" w:rsidTr="00F47372">
        <w:tc>
          <w:tcPr>
            <w:tcW w:w="2269" w:type="pct"/>
          </w:tcPr>
          <w:p w:rsidR="00C2612E" w:rsidRPr="006E7BAE" w:rsidRDefault="00C2612E" w:rsidP="008262A3"/>
        </w:tc>
        <w:tc>
          <w:tcPr>
            <w:tcW w:w="381" w:type="pct"/>
          </w:tcPr>
          <w:p w:rsidR="00E12A51" w:rsidRPr="006E7BAE" w:rsidRDefault="00E12A51" w:rsidP="00382FEC"/>
        </w:tc>
        <w:tc>
          <w:tcPr>
            <w:tcW w:w="2350" w:type="pct"/>
          </w:tcPr>
          <w:p w:rsidR="00E12A51" w:rsidRPr="00D83B8C" w:rsidRDefault="00E12A51" w:rsidP="00816B78">
            <w:pPr>
              <w:rPr>
                <w:lang w:val="en-US"/>
              </w:rPr>
            </w:pPr>
          </w:p>
        </w:tc>
      </w:tr>
      <w:tr w:rsidR="00417FB7" w:rsidRPr="006E7BAE" w:rsidTr="00F47372">
        <w:tc>
          <w:tcPr>
            <w:tcW w:w="2269" w:type="pct"/>
          </w:tcPr>
          <w:p w:rsidR="00417FB7" w:rsidRPr="006E7BAE" w:rsidRDefault="00417FB7" w:rsidP="008262A3">
            <w:r w:rsidRPr="006E7BAE">
              <w:t xml:space="preserve">Coram:  </w:t>
            </w:r>
            <w:r>
              <w:t>LeBel, Fish and Cromwell JJ.</w:t>
            </w:r>
          </w:p>
        </w:tc>
        <w:tc>
          <w:tcPr>
            <w:tcW w:w="381" w:type="pct"/>
          </w:tcPr>
          <w:p w:rsidR="00417FB7" w:rsidRPr="006E7BAE" w:rsidRDefault="00417FB7" w:rsidP="00382FEC"/>
        </w:tc>
        <w:tc>
          <w:tcPr>
            <w:tcW w:w="2350" w:type="pct"/>
          </w:tcPr>
          <w:p w:rsidR="00417FB7" w:rsidRPr="006E7BAE" w:rsidRDefault="00417FB7" w:rsidP="00382FEC">
            <w:pPr>
              <w:rPr>
                <w:lang w:val="fr-CA"/>
              </w:rPr>
            </w:pPr>
            <w:r w:rsidRPr="006E7BAE">
              <w:rPr>
                <w:lang w:val="fr-CA"/>
              </w:rPr>
              <w:t xml:space="preserve">Coram : </w:t>
            </w:r>
            <w:r>
              <w:t>Les juges LeBel, Fish et Cromwell</w:t>
            </w:r>
          </w:p>
        </w:tc>
      </w:tr>
      <w:tr w:rsidR="00C2612E" w:rsidRPr="006E7BAE" w:rsidTr="00F47372">
        <w:tc>
          <w:tcPr>
            <w:tcW w:w="2269" w:type="pct"/>
          </w:tcPr>
          <w:p w:rsidR="00C2612E" w:rsidRPr="006E7BAE" w:rsidRDefault="00C2612E" w:rsidP="008262A3"/>
          <w:p w:rsidR="00C2612E" w:rsidRPr="006E7BAE" w:rsidRDefault="00C2612E" w:rsidP="008262A3"/>
        </w:tc>
        <w:tc>
          <w:tcPr>
            <w:tcW w:w="381" w:type="pct"/>
          </w:tcPr>
          <w:p w:rsidR="00C2612E" w:rsidRPr="006E7BAE" w:rsidRDefault="00C2612E" w:rsidP="00382FEC"/>
        </w:tc>
        <w:tc>
          <w:tcPr>
            <w:tcW w:w="2350" w:type="pct"/>
          </w:tcPr>
          <w:p w:rsidR="00C2612E" w:rsidRPr="006E7BAE" w:rsidRDefault="00C2612E" w:rsidP="00382FEC">
            <w:pPr>
              <w:rPr>
                <w:lang w:val="fr-CA"/>
              </w:rPr>
            </w:pPr>
          </w:p>
        </w:tc>
      </w:tr>
      <w:tr w:rsidR="00824412" w:rsidRPr="006E7BAE" w:rsidTr="00F47372">
        <w:tc>
          <w:tcPr>
            <w:tcW w:w="2269" w:type="pct"/>
            <w:vAlign w:val="center"/>
          </w:tcPr>
          <w:p w:rsidR="00E63B8F" w:rsidRDefault="008D3DF3">
            <w:pPr>
              <w:pStyle w:val="SCCLsocPrefix"/>
            </w:pPr>
            <w:r>
              <w:t>BETWEEN:</w:t>
            </w:r>
            <w:r>
              <w:br/>
            </w:r>
          </w:p>
          <w:p w:rsidR="00E63B8F" w:rsidRDefault="008D3DF3">
            <w:pPr>
              <w:pStyle w:val="SCCLsocParty"/>
            </w:pPr>
            <w:r>
              <w:t>Toyota Canada Inc., Peace Country Toyota Inc. dba Peace Country Toyota, Sunrise Service Abbotsford Ltd</w:t>
            </w:r>
            <w:r w:rsidR="006648D7">
              <w:t>.</w:t>
            </w:r>
            <w:r>
              <w:t xml:space="preserve"> dba Sunrise Toyota, Terrace Motors Ltd</w:t>
            </w:r>
            <w:r w:rsidR="006648D7">
              <w:t>.</w:t>
            </w:r>
            <w:r>
              <w:t xml:space="preserve"> dba Terrace Motors Toyota, Peace Arch Motors Ltd. dba Peace Arch Toyota, Key Lease Canada Ltd. dba Northern Toyota and Glacier Toyota, Renwick Ventures Inc. </w:t>
            </w:r>
            <w:proofErr w:type="spellStart"/>
            <w:r>
              <w:t>dba</w:t>
            </w:r>
            <w:proofErr w:type="spellEnd"/>
            <w:r>
              <w:t xml:space="preserve"> Nelson Toyota, 89419 B.C. Ltd</w:t>
            </w:r>
            <w:r w:rsidR="006648D7">
              <w:t>.</w:t>
            </w:r>
            <w:r>
              <w:t xml:space="preserve"> dba Vernon Toyota, Downtown Centre Motors Ltd. dba Downtown Toyota Centre, Kelowna Toyota Ltd., Echo Toyota Ltd. dba Echo Toyota, Openroad Auto Group Ltd. dba Openroad Toyota - Richmond and Openroad Toyota - Port Moody, Jim Pattison Industries Ltd. dba Jim Pattison Toyota - Northshore, Jim Pattison Toyota - Surrey, Metro Lexus Toyota - Victoria and Metro Toyota - Duncan, Strathcona Motors (2003) Ltd. dba Strathcona Toyota, Granville Toyota Partnership dba Granville Toyota Penticton, Toyota Leisureland Inc. dba Penticton Toyota, Rice Automotive Investments Ltd. dba Courtenay Toyota, Regency Auto Enterprises Inc. dba Regency Toyota (Burnaby), Regency Auto Investments Inc. dba Regency Toyota (Vancouver), Westminster Toyota Ltd. dba Westminster Toyota, West Coast Import Vehicles Ltd. dba West Coast Toyota, Heartland Motors Ltd. dba Heartland Toyota, 414067 B.C. Ltd. dba Langley Toyotatown, Eaves Motor Sales Ltd. dba Nanaimo Toyota, Smart Cars </w:t>
            </w:r>
            <w:r>
              <w:lastRenderedPageBreak/>
              <w:t>Company Inc. dba Hilltop Toyota, Craig Kalawsky Automotive Holdings Ltd. dba Castlegar Toyota, 627198 B.C. Ltd. dba Quesnel Toyota, Rainbow Auto Centre Ltd. dba Valley Toyota, 646371 B.C. Ltd. dba Sun Country Toyota</w:t>
            </w:r>
            <w:r w:rsidR="00624248">
              <w:t xml:space="preserve"> and Parson’</w:t>
            </w:r>
            <w:r>
              <w:t>s Autos Inc. dba Alpine Toyota</w:t>
            </w:r>
            <w:r>
              <w:br/>
            </w:r>
          </w:p>
          <w:p w:rsidR="00E63B8F" w:rsidRDefault="008D3DF3">
            <w:pPr>
              <w:pStyle w:val="SCCLsocPartyRole"/>
            </w:pPr>
            <w:r>
              <w:t>Applicants</w:t>
            </w:r>
            <w:r>
              <w:br/>
            </w:r>
          </w:p>
          <w:p w:rsidR="00E63B8F" w:rsidRDefault="008D3DF3">
            <w:pPr>
              <w:pStyle w:val="SCCLsocVersus"/>
            </w:pPr>
            <w:r>
              <w:t>- and -</w:t>
            </w:r>
            <w:r>
              <w:br/>
            </w:r>
          </w:p>
          <w:p w:rsidR="00E63B8F" w:rsidRDefault="008D3DF3">
            <w:pPr>
              <w:pStyle w:val="SCCLsocParty"/>
            </w:pPr>
            <w:r>
              <w:t>Michael Steele, Susan Schlombs, Shawn Allan Munro and Gary Weishaar</w:t>
            </w:r>
            <w:r>
              <w:br/>
            </w:r>
          </w:p>
          <w:p w:rsidR="00E63B8F" w:rsidRDefault="008D3DF3">
            <w:pPr>
              <w:pStyle w:val="SCCLsocPartyRole"/>
            </w:pPr>
            <w:r>
              <w:t>Respondents</w:t>
            </w:r>
          </w:p>
        </w:tc>
        <w:tc>
          <w:tcPr>
            <w:tcW w:w="381" w:type="pct"/>
            <w:vAlign w:val="center"/>
          </w:tcPr>
          <w:p w:rsidR="00824412" w:rsidRPr="006E7BAE" w:rsidRDefault="00824412" w:rsidP="00375294"/>
        </w:tc>
        <w:tc>
          <w:tcPr>
            <w:tcW w:w="2350" w:type="pct"/>
            <w:vAlign w:val="center"/>
          </w:tcPr>
          <w:p w:rsidR="00E63B8F" w:rsidRDefault="008D3DF3">
            <w:pPr>
              <w:pStyle w:val="SCCLsocPrefix"/>
            </w:pPr>
            <w:r>
              <w:t>ENTRE :</w:t>
            </w:r>
            <w:r>
              <w:br/>
            </w:r>
          </w:p>
          <w:p w:rsidR="00E63B8F" w:rsidRDefault="008D3DF3">
            <w:pPr>
              <w:pStyle w:val="SCCLsocParty"/>
            </w:pPr>
            <w:r>
              <w:t>Toyota Canada Inc., Peace Country Toyota Inc. dba Peace Country Toyota, Sunrise Service Abbotsford Ltd</w:t>
            </w:r>
            <w:r w:rsidR="006648D7">
              <w:t>.</w:t>
            </w:r>
            <w:r>
              <w:t xml:space="preserve"> dba Sunrise Toyota, Terrace Motors Ltd</w:t>
            </w:r>
            <w:r w:rsidR="006648D7">
              <w:t>.</w:t>
            </w:r>
            <w:r>
              <w:t xml:space="preserve"> dba Terrace Motors Toyota, Peace Arch Motors Ltd. dba Peace Arch Toyota, Key Lease Canada Ltd. dba Northern Toyota and Glacier Toyota, Renwick Ventures Inc. dba Nelson Toyota, 89419 B.C. Ltd</w:t>
            </w:r>
            <w:r w:rsidR="006648D7">
              <w:t>.</w:t>
            </w:r>
            <w:r>
              <w:t xml:space="preserve"> dba Vernon Toyota, Downtown Centre Motors Ltd. dba Downtown Toyota Centre, Kelowna Toyota Ltd., Echo Toyota Ltd. dba Echo Toyota, Openroad Auto Group Ltd. dba Openroad Toyota - Richmond and Openroad Toyota - Port Moody, Jim Pattison Industries Ltd. dba Jim Pattison Toyota - Northshore, Jim Pattison Toyota - Surrey, Metro Lexus Toyota - Victoria and Metro Toyota - Duncan, Strathcona Motors (2003) Ltd. dba Strathcona Toyota, Granville Toyota Partnership dba Granville Toyota Penticton, Toyota Leisureland Inc. dba Penticton Toyota, Rice Automotive Investments Ltd. dba Courtenay Toyota, Regency Auto Enterprises Inc. dba Regency Toyota (Burnaby), Regency Auto Investments Inc. dba Regency Toyota (Vancouver), Westminster Toyota Ltd. dba Westminster Toyota, West Coast Import Vehicles Ltd. dba West Coast Toyota, Heartland Motors Ltd. dba Heartland Toyota, 414067 B.C. Ltd. dba Langley Toyotatown, Eaves Motor Sales Ltd. dba Nanaimo Toyota, Smart Cars Company </w:t>
            </w:r>
            <w:r>
              <w:lastRenderedPageBreak/>
              <w:t>Inc. dba Hilltop Toyota, Craig Kalawsky Automotive Holdings Ltd. dba Castlegar Toyota, 627198 B.C. Ltd. dba Quesnel Toyota, Rainbow Auto Centre Ltd. dba Valley Toyota, 646371 B.C. Ltd. dba</w:t>
            </w:r>
            <w:r w:rsidR="00624248">
              <w:t xml:space="preserve"> Sun Country Toyota et Parson’</w:t>
            </w:r>
            <w:r>
              <w:t>s Autos Inc. dba Alpine Toyota</w:t>
            </w:r>
            <w:r>
              <w:br/>
            </w:r>
          </w:p>
          <w:p w:rsidR="00E63B8F" w:rsidRDefault="008D3DF3">
            <w:pPr>
              <w:pStyle w:val="SCCLsocPartyRole"/>
            </w:pPr>
            <w:proofErr w:type="spellStart"/>
            <w:r>
              <w:t>Demanderesses</w:t>
            </w:r>
            <w:proofErr w:type="spellEnd"/>
            <w:r>
              <w:br/>
            </w:r>
          </w:p>
          <w:p w:rsidR="00E63B8F" w:rsidRDefault="008D3DF3">
            <w:pPr>
              <w:pStyle w:val="SCCLsocVersus"/>
            </w:pPr>
            <w:r>
              <w:t>- et -</w:t>
            </w:r>
            <w:r>
              <w:br/>
            </w:r>
          </w:p>
          <w:p w:rsidR="00E63B8F" w:rsidRDefault="008D3DF3">
            <w:pPr>
              <w:pStyle w:val="SCCLsocParty"/>
            </w:pPr>
            <w:r>
              <w:t>Michael Steele, Susan Schlombs, Shawn Allan Munro et Gary Weishaar</w:t>
            </w:r>
            <w:r>
              <w:br/>
            </w:r>
          </w:p>
          <w:p w:rsidR="00E63B8F" w:rsidRDefault="008D3DF3" w:rsidP="00624248">
            <w:pPr>
              <w:pStyle w:val="SCCLsocPartyRole"/>
            </w:pPr>
            <w:proofErr w:type="spellStart"/>
            <w:r>
              <w:t>Intimés</w:t>
            </w:r>
            <w:proofErr w:type="spellEnd"/>
          </w:p>
        </w:tc>
      </w:tr>
      <w:tr w:rsidR="00824412" w:rsidRPr="006E7BAE" w:rsidTr="00F47372">
        <w:tc>
          <w:tcPr>
            <w:tcW w:w="2269" w:type="pct"/>
            <w:vAlign w:val="center"/>
          </w:tcPr>
          <w:p w:rsidR="00824412" w:rsidRPr="006E7BAE" w:rsidRDefault="00824412" w:rsidP="00375294"/>
          <w:p w:rsidR="00824412" w:rsidRPr="006E7BAE" w:rsidRDefault="00824412" w:rsidP="00375294"/>
        </w:tc>
        <w:tc>
          <w:tcPr>
            <w:tcW w:w="381" w:type="pct"/>
            <w:vAlign w:val="center"/>
          </w:tcPr>
          <w:p w:rsidR="00824412" w:rsidRPr="006E7BAE" w:rsidRDefault="00824412" w:rsidP="00375294"/>
        </w:tc>
        <w:tc>
          <w:tcPr>
            <w:tcW w:w="2350" w:type="pct"/>
            <w:vAlign w:val="center"/>
          </w:tcPr>
          <w:p w:rsidR="00824412" w:rsidRPr="00D83B8C" w:rsidRDefault="00824412" w:rsidP="00B408F8">
            <w:pPr>
              <w:rPr>
                <w:lang w:val="en-US"/>
              </w:rPr>
            </w:pPr>
          </w:p>
        </w:tc>
      </w:tr>
      <w:tr w:rsidR="00824412" w:rsidRPr="00CF4BD3" w:rsidTr="00F47372">
        <w:tc>
          <w:tcPr>
            <w:tcW w:w="2269" w:type="pct"/>
          </w:tcPr>
          <w:p w:rsidR="00824412" w:rsidRPr="006E7BAE" w:rsidRDefault="00824412" w:rsidP="00C2612E">
            <w:pPr>
              <w:jc w:val="center"/>
            </w:pPr>
            <w:r w:rsidRPr="006E7BAE">
              <w:t>JUDGMENT</w:t>
            </w:r>
          </w:p>
          <w:p w:rsidR="00824412" w:rsidRPr="006E7BAE" w:rsidRDefault="00824412" w:rsidP="00417FB7">
            <w:pPr>
              <w:jc w:val="center"/>
            </w:pPr>
          </w:p>
          <w:p w:rsidR="00824412" w:rsidRPr="006E7BAE" w:rsidRDefault="00824412" w:rsidP="00390F07">
            <w:pPr>
              <w:jc w:val="both"/>
            </w:pPr>
            <w:r w:rsidRPr="006E7BAE">
              <w:t>The app</w:t>
            </w:r>
            <w:r w:rsidR="00011960" w:rsidRPr="006E7BAE">
              <w:t>lication for leave to appeal from the judgment of the</w:t>
            </w:r>
            <w:bookmarkStart w:id="1" w:name="BM_1_"/>
            <w:bookmarkEnd w:id="1"/>
            <w:r w:rsidRPr="006E7BAE">
              <w:t xml:space="preserve"> </w:t>
            </w:r>
            <w:r>
              <w:t>Court of Appeal for British Columbia (Vancouver)</w:t>
            </w:r>
            <w:r w:rsidRPr="006E7BAE">
              <w:t xml:space="preserve">, Number </w:t>
            </w:r>
            <w:r>
              <w:t>CA036431, 2011 BCCA 98</w:t>
            </w:r>
            <w:r w:rsidRPr="006E7BAE">
              <w:t xml:space="preserve">, dated </w:t>
            </w:r>
            <w:r>
              <w:t>March 7, 2011</w:t>
            </w:r>
            <w:r w:rsidR="00390F07">
              <w:t>,</w:t>
            </w:r>
            <w:r w:rsidRPr="006E7BAE">
              <w:t xml:space="preserve"> is </w:t>
            </w:r>
            <w:r w:rsidR="00390F07">
              <w:t>dismissed with costs</w:t>
            </w:r>
            <w:r w:rsidRPr="006E7BAE">
              <w:t>.</w:t>
            </w:r>
          </w:p>
        </w:tc>
        <w:tc>
          <w:tcPr>
            <w:tcW w:w="381" w:type="pct"/>
          </w:tcPr>
          <w:p w:rsidR="00824412" w:rsidRPr="006E7BAE" w:rsidRDefault="00824412" w:rsidP="00417FB7">
            <w:pPr>
              <w:jc w:val="center"/>
            </w:pPr>
          </w:p>
        </w:tc>
        <w:tc>
          <w:tcPr>
            <w:tcW w:w="2350" w:type="pct"/>
          </w:tcPr>
          <w:p w:rsidR="00824412" w:rsidRPr="006E7BAE" w:rsidRDefault="00824412" w:rsidP="00C2612E">
            <w:pPr>
              <w:jc w:val="center"/>
              <w:rPr>
                <w:lang w:val="fr-CA"/>
              </w:rPr>
            </w:pPr>
            <w:r w:rsidRPr="006E7BAE">
              <w:rPr>
                <w:lang w:val="fr-CA"/>
              </w:rPr>
              <w:t>JUGEMENT</w:t>
            </w:r>
          </w:p>
          <w:p w:rsidR="00824412" w:rsidRPr="006E7BAE" w:rsidRDefault="00824412" w:rsidP="00417FB7">
            <w:pPr>
              <w:jc w:val="center"/>
              <w:rPr>
                <w:lang w:val="fr-CA"/>
              </w:rPr>
            </w:pPr>
          </w:p>
          <w:p w:rsidR="00824412" w:rsidRPr="006E7BAE" w:rsidRDefault="00824412" w:rsidP="00390F07">
            <w:pPr>
              <w:jc w:val="both"/>
              <w:rPr>
                <w:lang w:val="fr-CA"/>
              </w:rPr>
            </w:pPr>
            <w:r w:rsidRPr="006E7BAE">
              <w:rPr>
                <w:lang w:val="fr-CA"/>
              </w:rPr>
              <w:t>L</w:t>
            </w:r>
            <w:r w:rsidR="00011960" w:rsidRPr="006E7BAE">
              <w:rPr>
                <w:lang w:val="fr-CA"/>
              </w:rPr>
              <w:t>a demande d’autorisation d’appel de l’arrêt de la</w:t>
            </w:r>
            <w:r w:rsidRPr="006E7BAE">
              <w:rPr>
                <w:lang w:val="fr-CA"/>
              </w:rPr>
              <w:t xml:space="preserve"> </w:t>
            </w:r>
            <w:r w:rsidRPr="00624248">
              <w:rPr>
                <w:lang w:val="fr-CA"/>
              </w:rPr>
              <w:t>Cour d’appel de la Colombie-Britannique (Vancouver)</w:t>
            </w:r>
            <w:r w:rsidRPr="006E7BAE">
              <w:rPr>
                <w:lang w:val="fr-CA"/>
              </w:rPr>
              <w:t xml:space="preserve">, numéro </w:t>
            </w:r>
            <w:r w:rsidRPr="00624248">
              <w:rPr>
                <w:lang w:val="fr-CA"/>
              </w:rPr>
              <w:t>CA036431, 2011 BCCA 98</w:t>
            </w:r>
            <w:r w:rsidRPr="006E7BAE">
              <w:rPr>
                <w:lang w:val="fr-CA"/>
              </w:rPr>
              <w:t xml:space="preserve">, </w:t>
            </w:r>
            <w:r w:rsidR="00011960" w:rsidRPr="006E7BAE">
              <w:rPr>
                <w:lang w:val="fr-CA"/>
              </w:rPr>
              <w:t>daté du</w:t>
            </w:r>
            <w:r w:rsidRPr="006E7BAE">
              <w:rPr>
                <w:lang w:val="fr-CA"/>
              </w:rPr>
              <w:t xml:space="preserve"> </w:t>
            </w:r>
            <w:r w:rsidRPr="00624248">
              <w:rPr>
                <w:lang w:val="fr-CA"/>
              </w:rPr>
              <w:t>7 mars 2011</w:t>
            </w:r>
            <w:r w:rsidRPr="006E7BAE">
              <w:rPr>
                <w:lang w:val="fr-CA"/>
              </w:rPr>
              <w:t xml:space="preserve">, est </w:t>
            </w:r>
            <w:r w:rsidR="00390F07">
              <w:rPr>
                <w:lang w:val="fr-CA"/>
              </w:rPr>
              <w:t>rejetée avec dépens</w:t>
            </w:r>
            <w:r w:rsidRPr="006E7BAE">
              <w:rPr>
                <w:lang w:val="fr-CA"/>
              </w:rPr>
              <w:t>.</w:t>
            </w:r>
            <w:r w:rsidR="00011960" w:rsidRPr="006E7BAE">
              <w:rPr>
                <w:lang w:val="fr-CA"/>
              </w:rPr>
              <w:t xml:space="preserve"> </w:t>
            </w:r>
          </w:p>
        </w:tc>
      </w:tr>
    </w:tbl>
    <w:p w:rsidR="009F436C" w:rsidRPr="00D83B8C" w:rsidRDefault="009F436C" w:rsidP="00382FEC">
      <w:pPr>
        <w:rPr>
          <w:lang w:val="fr-CA"/>
        </w:rPr>
      </w:pPr>
    </w:p>
    <w:p w:rsidR="009F436C" w:rsidRPr="00D83B8C" w:rsidRDefault="009F436C" w:rsidP="00417FB7">
      <w:pPr>
        <w:jc w:val="center"/>
        <w:rPr>
          <w:lang w:val="fr-CA"/>
        </w:rPr>
      </w:pPr>
    </w:p>
    <w:p w:rsidR="009F436C" w:rsidRPr="00D83B8C" w:rsidRDefault="009F436C" w:rsidP="00417FB7">
      <w:pPr>
        <w:jc w:val="center"/>
        <w:rPr>
          <w:lang w:val="fr-CA"/>
        </w:rPr>
      </w:pPr>
    </w:p>
    <w:p w:rsidR="009F436C" w:rsidRPr="00A252FA" w:rsidRDefault="003A37CF" w:rsidP="00417FB7">
      <w:pPr>
        <w:jc w:val="center"/>
        <w:rPr>
          <w:lang w:val="fr-CA"/>
        </w:rPr>
      </w:pPr>
      <w:r w:rsidRPr="00A252FA">
        <w:rPr>
          <w:lang w:val="fr-CA"/>
        </w:rPr>
        <w:t>J.S.C.C.</w:t>
      </w:r>
    </w:p>
    <w:p w:rsidR="003A37CF" w:rsidRPr="00D83B8C" w:rsidRDefault="003A37CF" w:rsidP="00390F07">
      <w:pPr>
        <w:jc w:val="center"/>
        <w:rPr>
          <w:lang w:val="fr-CA"/>
        </w:rPr>
      </w:pPr>
      <w:r w:rsidRPr="00A252FA">
        <w:rPr>
          <w:lang w:val="fr-CA"/>
        </w:rPr>
        <w:t>J.C.S.C.</w:t>
      </w:r>
      <w:r w:rsidR="00390F07" w:rsidRPr="00D83B8C">
        <w:rPr>
          <w:lang w:val="fr-CA"/>
        </w:rPr>
        <w:t xml:space="preserve"> </w:t>
      </w:r>
    </w:p>
    <w:sectPr w:rsidR="003A37CF" w:rsidRPr="00D83B8C" w:rsidSect="008F53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4E6" w:rsidRDefault="00F874E6">
      <w:r>
        <w:separator/>
      </w:r>
    </w:p>
  </w:endnote>
  <w:endnote w:type="continuationSeparator" w:id="0">
    <w:p w:rsidR="00F874E6" w:rsidRDefault="00F8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3F3" w:rsidRDefault="008F53F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3F3" w:rsidRDefault="008F53F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3F3" w:rsidRDefault="008F53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4E6" w:rsidRDefault="00F874E6">
      <w:r>
        <w:separator/>
      </w:r>
    </w:p>
  </w:footnote>
  <w:footnote w:type="continuationSeparator" w:id="0">
    <w:p w:rsidR="00F874E6" w:rsidRDefault="00F87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12E" w:rsidRDefault="00C2612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3F3" w:rsidRDefault="008F53F3" w:rsidP="008F53F3">
    <w:pPr>
      <w:tabs>
        <w:tab w:val="center" w:pos="4680"/>
      </w:tabs>
      <w:jc w:val="center"/>
      <w:rPr>
        <w:szCs w:val="24"/>
      </w:rPr>
    </w:pPr>
    <w:r>
      <w:rPr>
        <w:szCs w:val="24"/>
      </w:rPr>
      <w:t xml:space="preserve">- </w:t>
    </w:r>
    <w:r w:rsidR="00966E9F" w:rsidRPr="00417FB7">
      <w:rPr>
        <w:szCs w:val="24"/>
      </w:rPr>
      <w:fldChar w:fldCharType="begin"/>
    </w:r>
    <w:r w:rsidRPr="00417FB7">
      <w:rPr>
        <w:szCs w:val="24"/>
      </w:rPr>
      <w:instrText xml:space="preserve"> PAGE   \* MERGEFORMAT </w:instrText>
    </w:r>
    <w:r w:rsidR="00966E9F" w:rsidRPr="00417FB7">
      <w:rPr>
        <w:szCs w:val="24"/>
      </w:rPr>
      <w:fldChar w:fldCharType="separate"/>
    </w:r>
    <w:r w:rsidR="009C718B">
      <w:rPr>
        <w:noProof/>
        <w:szCs w:val="24"/>
      </w:rPr>
      <w:t>2</w:t>
    </w:r>
    <w:r w:rsidR="00966E9F" w:rsidRPr="00417FB7">
      <w:rPr>
        <w:szCs w:val="24"/>
      </w:rPr>
      <w:fldChar w:fldCharType="end"/>
    </w:r>
    <w:r>
      <w:rPr>
        <w:szCs w:val="24"/>
      </w:rPr>
      <w:t xml:space="preserve"> -</w:t>
    </w:r>
  </w:p>
  <w:p w:rsidR="008F53F3" w:rsidRDefault="008F53F3" w:rsidP="008F53F3">
    <w:pPr>
      <w:rPr>
        <w:szCs w:val="24"/>
      </w:rPr>
    </w:pPr>
  </w:p>
  <w:p w:rsidR="008F53F3" w:rsidRDefault="008F53F3" w:rsidP="008F53F3">
    <w:pPr>
      <w:rPr>
        <w:szCs w:val="24"/>
      </w:rPr>
    </w:pPr>
  </w:p>
  <w:p w:rsidR="008F53F3" w:rsidRDefault="008F53F3" w:rsidP="008F53F3">
    <w:pPr>
      <w:tabs>
        <w:tab w:val="right" w:pos="9360"/>
      </w:tabs>
      <w:jc w:val="right"/>
      <w:rPr>
        <w:szCs w:val="24"/>
      </w:rPr>
    </w:pPr>
    <w:r>
      <w:rPr>
        <w:szCs w:val="24"/>
      </w:rPr>
      <w:t xml:space="preserve">No. </w:t>
    </w:r>
    <w:r>
      <w:t>34242</w:t>
    </w:r>
    <w:r>
      <w:rPr>
        <w:szCs w:val="24"/>
      </w:rPr>
      <w:t>     </w:t>
    </w:r>
  </w:p>
  <w:p w:rsidR="008F53F3" w:rsidRDefault="008F53F3" w:rsidP="008F53F3">
    <w:pP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12E" w:rsidRDefault="00C2612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129C"/>
    <w:rsid w:val="00011960"/>
    <w:rsid w:val="000306C6"/>
    <w:rsid w:val="0003701B"/>
    <w:rsid w:val="0004338D"/>
    <w:rsid w:val="00057FAF"/>
    <w:rsid w:val="00074657"/>
    <w:rsid w:val="00091327"/>
    <w:rsid w:val="000919B4"/>
    <w:rsid w:val="000B4AA7"/>
    <w:rsid w:val="000B76FF"/>
    <w:rsid w:val="000D7521"/>
    <w:rsid w:val="000E4CCE"/>
    <w:rsid w:val="0016666F"/>
    <w:rsid w:val="00167C15"/>
    <w:rsid w:val="001D0116"/>
    <w:rsid w:val="001D4323"/>
    <w:rsid w:val="00203642"/>
    <w:rsid w:val="002523DE"/>
    <w:rsid w:val="002568D3"/>
    <w:rsid w:val="0027284C"/>
    <w:rsid w:val="002B5FA6"/>
    <w:rsid w:val="0031097F"/>
    <w:rsid w:val="0031165C"/>
    <w:rsid w:val="00356186"/>
    <w:rsid w:val="00374E7D"/>
    <w:rsid w:val="00375294"/>
    <w:rsid w:val="00382FC7"/>
    <w:rsid w:val="00382FEC"/>
    <w:rsid w:val="00385A90"/>
    <w:rsid w:val="00390F07"/>
    <w:rsid w:val="003A37CF"/>
    <w:rsid w:val="003B1F3D"/>
    <w:rsid w:val="00414694"/>
    <w:rsid w:val="00417FB7"/>
    <w:rsid w:val="0042783F"/>
    <w:rsid w:val="004943CF"/>
    <w:rsid w:val="004956DA"/>
    <w:rsid w:val="004D4658"/>
    <w:rsid w:val="00563E2C"/>
    <w:rsid w:val="00587869"/>
    <w:rsid w:val="00612913"/>
    <w:rsid w:val="00614908"/>
    <w:rsid w:val="00624248"/>
    <w:rsid w:val="00650109"/>
    <w:rsid w:val="006648D7"/>
    <w:rsid w:val="006E7BAE"/>
    <w:rsid w:val="00701109"/>
    <w:rsid w:val="007372EA"/>
    <w:rsid w:val="0079129C"/>
    <w:rsid w:val="007917FE"/>
    <w:rsid w:val="007A54CC"/>
    <w:rsid w:val="007C5DE8"/>
    <w:rsid w:val="007E68C7"/>
    <w:rsid w:val="00816B78"/>
    <w:rsid w:val="00824412"/>
    <w:rsid w:val="008262A3"/>
    <w:rsid w:val="00830BBE"/>
    <w:rsid w:val="0086042A"/>
    <w:rsid w:val="008763A3"/>
    <w:rsid w:val="008813BC"/>
    <w:rsid w:val="008A153F"/>
    <w:rsid w:val="008D3DF3"/>
    <w:rsid w:val="008F53F3"/>
    <w:rsid w:val="009305BF"/>
    <w:rsid w:val="00951EF6"/>
    <w:rsid w:val="0096638C"/>
    <w:rsid w:val="00966E9F"/>
    <w:rsid w:val="00971A08"/>
    <w:rsid w:val="009C718B"/>
    <w:rsid w:val="009D45DF"/>
    <w:rsid w:val="009E0F71"/>
    <w:rsid w:val="009E7A46"/>
    <w:rsid w:val="009F436C"/>
    <w:rsid w:val="00A03153"/>
    <w:rsid w:val="00A103E3"/>
    <w:rsid w:val="00A252FA"/>
    <w:rsid w:val="00AB5E22"/>
    <w:rsid w:val="00AE2077"/>
    <w:rsid w:val="00B158E3"/>
    <w:rsid w:val="00B408F8"/>
    <w:rsid w:val="00B5078E"/>
    <w:rsid w:val="00B60EDC"/>
    <w:rsid w:val="00BD4E4C"/>
    <w:rsid w:val="00BF7644"/>
    <w:rsid w:val="00C1285B"/>
    <w:rsid w:val="00C2612E"/>
    <w:rsid w:val="00C97FCC"/>
    <w:rsid w:val="00CE249F"/>
    <w:rsid w:val="00CF17D0"/>
    <w:rsid w:val="00CF4BD3"/>
    <w:rsid w:val="00D42339"/>
    <w:rsid w:val="00D61AC2"/>
    <w:rsid w:val="00D83B8C"/>
    <w:rsid w:val="00E12A51"/>
    <w:rsid w:val="00E63B8F"/>
    <w:rsid w:val="00E777AD"/>
    <w:rsid w:val="00EA4B61"/>
    <w:rsid w:val="00EE2A6C"/>
    <w:rsid w:val="00EF6754"/>
    <w:rsid w:val="00F06BF6"/>
    <w:rsid w:val="00F1759D"/>
    <w:rsid w:val="00F20569"/>
    <w:rsid w:val="00F40FBF"/>
    <w:rsid w:val="00F47372"/>
    <w:rsid w:val="00F5034C"/>
    <w:rsid w:val="00F70D4F"/>
    <w:rsid w:val="00F76E97"/>
    <w:rsid w:val="00F84E07"/>
    <w:rsid w:val="00F874E6"/>
    <w:rsid w:val="00FD4F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Titre2">
    <w:name w:val="heading 2"/>
    <w:basedOn w:val="Normal"/>
    <w:next w:val="Normal"/>
    <w:link w:val="Titre2C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Policepardfau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Policepardfau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Policepardfau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Policepardfau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Policepardfaut"/>
    <w:link w:val="SCCLsocVersus"/>
    <w:rsid w:val="002B5FA6"/>
    <w:rPr>
      <w:rFonts w:ascii="Times New Roman" w:eastAsiaTheme="minorHAnsi" w:hAnsi="Times New Roman"/>
      <w:sz w:val="24"/>
      <w:lang w:eastAsia="en-US"/>
    </w:rPr>
  </w:style>
  <w:style w:type="paragraph" w:styleId="Sansinterligne">
    <w:name w:val="No Spacing"/>
    <w:uiPriority w:val="1"/>
    <w:rsid w:val="00D42339"/>
    <w:pPr>
      <w:spacing w:after="0" w:line="240" w:lineRule="auto"/>
    </w:pPr>
    <w:rPr>
      <w:rFonts w:ascii="Times New Roman" w:eastAsiaTheme="minorHAnsi" w:hAnsi="Times New Roman"/>
      <w:sz w:val="24"/>
      <w:lang w:eastAsia="en-US"/>
    </w:rPr>
  </w:style>
  <w:style w:type="paragraph" w:styleId="En-tte">
    <w:name w:val="header"/>
    <w:basedOn w:val="Normal"/>
    <w:link w:val="En-tteCar"/>
    <w:uiPriority w:val="99"/>
    <w:semiHidden/>
    <w:unhideWhenUsed/>
    <w:rsid w:val="00417FB7"/>
    <w:pPr>
      <w:tabs>
        <w:tab w:val="center" w:pos="4680"/>
        <w:tab w:val="right" w:pos="9360"/>
      </w:tabs>
    </w:pPr>
  </w:style>
  <w:style w:type="character" w:customStyle="1" w:styleId="En-tteCar">
    <w:name w:val="En-tête Car"/>
    <w:basedOn w:val="Policepardfaut"/>
    <w:link w:val="En-tte"/>
    <w:uiPriority w:val="99"/>
    <w:semiHidden/>
    <w:rsid w:val="00417FB7"/>
    <w:rPr>
      <w:rFonts w:ascii="Times New Roman" w:hAnsi="Times New Roman" w:cs="Times New Roman"/>
      <w:sz w:val="20"/>
      <w:szCs w:val="20"/>
    </w:rPr>
  </w:style>
  <w:style w:type="paragraph" w:styleId="Pieddepage">
    <w:name w:val="footer"/>
    <w:basedOn w:val="Normal"/>
    <w:link w:val="PieddepageCar"/>
    <w:uiPriority w:val="99"/>
    <w:semiHidden/>
    <w:unhideWhenUsed/>
    <w:rsid w:val="00417FB7"/>
    <w:pPr>
      <w:tabs>
        <w:tab w:val="center" w:pos="4680"/>
        <w:tab w:val="right" w:pos="9360"/>
      </w:tabs>
    </w:pPr>
  </w:style>
  <w:style w:type="character" w:customStyle="1" w:styleId="PieddepageCar">
    <w:name w:val="Pied de page Car"/>
    <w:basedOn w:val="Policepardfaut"/>
    <w:link w:val="Pieddepage"/>
    <w:uiPriority w:val="99"/>
    <w:semiHidden/>
    <w:rsid w:val="00417FB7"/>
    <w:rPr>
      <w:rFonts w:ascii="Times New Roman" w:hAnsi="Times New Roman" w:cs="Times New Roman"/>
      <w:sz w:val="20"/>
      <w:szCs w:val="20"/>
    </w:rPr>
  </w:style>
  <w:style w:type="character" w:styleId="Textedelespacerserv">
    <w:name w:val="Placeholder Text"/>
    <w:basedOn w:val="Policepardfaut"/>
    <w:uiPriority w:val="99"/>
    <w:semiHidden/>
    <w:rsid w:val="00D61AC2"/>
    <w:rPr>
      <w:color w:val="808080"/>
    </w:rPr>
  </w:style>
  <w:style w:type="paragraph" w:styleId="Textedebulles">
    <w:name w:val="Balloon Text"/>
    <w:basedOn w:val="Normal"/>
    <w:link w:val="TextedebullesCar"/>
    <w:uiPriority w:val="99"/>
    <w:semiHidden/>
    <w:unhideWhenUsed/>
    <w:rsid w:val="00D61AC2"/>
    <w:rPr>
      <w:rFonts w:ascii="Tahoma" w:hAnsi="Tahoma" w:cs="Tahoma"/>
      <w:sz w:val="16"/>
      <w:szCs w:val="16"/>
    </w:rPr>
  </w:style>
  <w:style w:type="character" w:customStyle="1" w:styleId="TextedebullesCar">
    <w:name w:val="Texte de bulles Car"/>
    <w:basedOn w:val="Policepardfaut"/>
    <w:link w:val="Textedebulles"/>
    <w:uiPriority w:val="99"/>
    <w:semiHidden/>
    <w:rsid w:val="00D61A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562C-BAB4-46C4-AA3F-869A998B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SCC-CSC</dc:creator>
  <cp:keywords/>
  <dc:description/>
  <cp:lastModifiedBy>azizf</cp:lastModifiedBy>
  <cp:revision>7</cp:revision>
  <dcterms:created xsi:type="dcterms:W3CDTF">2011-10-07T12:51:00Z</dcterms:created>
  <dcterms:modified xsi:type="dcterms:W3CDTF">2011-11-08T16:27:00Z</dcterms:modified>
</cp:coreProperties>
</file>