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34114</w:t>
      </w:r>
      <w:r w:rsidR="0016666F" w:rsidRPr="006E7BAE">
        <w:t>     </w:t>
      </w:r>
    </w:p>
    <w:p w:rsidR="009F436C" w:rsidRPr="006E7BAE" w:rsidRDefault="009F436C" w:rsidP="00382FEC"/>
    <w:tbl>
      <w:tblPr>
        <w:tblW w:w="4896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349"/>
        <w:gridCol w:w="450"/>
        <w:gridCol w:w="4423"/>
      </w:tblGrid>
      <w:tr w:rsidR="00417FB7" w:rsidRPr="006E7BAE" w:rsidTr="006349B3">
        <w:tc>
          <w:tcPr>
            <w:tcW w:w="2358" w:type="pct"/>
          </w:tcPr>
          <w:p w:rsidR="00417FB7" w:rsidRPr="006E7BAE" w:rsidRDefault="00EE2A6C" w:rsidP="0015322C">
            <w:r>
              <w:t xml:space="preserve">June </w:t>
            </w:r>
            <w:r w:rsidR="0015322C">
              <w:t>30</w:t>
            </w:r>
            <w:r>
              <w:t>, 2011</w:t>
            </w:r>
          </w:p>
        </w:tc>
        <w:tc>
          <w:tcPr>
            <w:tcW w:w="244" w:type="pct"/>
          </w:tcPr>
          <w:p w:rsidR="00417FB7" w:rsidRPr="006E7BAE" w:rsidRDefault="00417FB7" w:rsidP="00382FEC"/>
        </w:tc>
        <w:tc>
          <w:tcPr>
            <w:tcW w:w="2398" w:type="pct"/>
          </w:tcPr>
          <w:p w:rsidR="00417FB7" w:rsidRPr="00D83B8C" w:rsidRDefault="0015322C" w:rsidP="00816B78">
            <w:pPr>
              <w:rPr>
                <w:lang w:val="en-US"/>
              </w:rPr>
            </w:pPr>
            <w:r>
              <w:t>Le 30</w:t>
            </w:r>
            <w:r w:rsidR="00EE2A6C">
              <w:t xml:space="preserve"> </w:t>
            </w:r>
            <w:proofErr w:type="spellStart"/>
            <w:r w:rsidR="00EE2A6C">
              <w:t>juin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6349B3">
        <w:tc>
          <w:tcPr>
            <w:tcW w:w="2358" w:type="pct"/>
          </w:tcPr>
          <w:p w:rsidR="00C2612E" w:rsidRPr="006E7BAE" w:rsidRDefault="00C2612E" w:rsidP="008262A3"/>
        </w:tc>
        <w:tc>
          <w:tcPr>
            <w:tcW w:w="244" w:type="pct"/>
          </w:tcPr>
          <w:p w:rsidR="00E12A51" w:rsidRPr="006E7BAE" w:rsidRDefault="00E12A51" w:rsidP="00382FEC"/>
        </w:tc>
        <w:tc>
          <w:tcPr>
            <w:tcW w:w="2398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6349B3">
        <w:tc>
          <w:tcPr>
            <w:tcW w:w="2358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Fish and Cromwell JJ.</w:t>
            </w:r>
          </w:p>
        </w:tc>
        <w:tc>
          <w:tcPr>
            <w:tcW w:w="244" w:type="pct"/>
          </w:tcPr>
          <w:p w:rsidR="00417FB7" w:rsidRPr="006E7BAE" w:rsidRDefault="00417FB7" w:rsidP="00382FEC"/>
        </w:tc>
        <w:tc>
          <w:tcPr>
            <w:tcW w:w="2398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Les juges LeBel, Fish et Cromwell</w:t>
            </w:r>
          </w:p>
        </w:tc>
      </w:tr>
      <w:tr w:rsidR="00C2612E" w:rsidRPr="006E7BAE" w:rsidTr="006349B3">
        <w:tc>
          <w:tcPr>
            <w:tcW w:w="2358" w:type="pct"/>
          </w:tcPr>
          <w:p w:rsidR="00C2612E" w:rsidRPr="006E7BAE" w:rsidRDefault="00C2612E" w:rsidP="008262A3"/>
          <w:p w:rsidR="00C2612E" w:rsidRPr="006E7BAE" w:rsidRDefault="00C2612E" w:rsidP="008262A3"/>
        </w:tc>
        <w:tc>
          <w:tcPr>
            <w:tcW w:w="244" w:type="pct"/>
          </w:tcPr>
          <w:p w:rsidR="00C2612E" w:rsidRPr="006E7BAE" w:rsidRDefault="00C2612E" w:rsidP="00382FEC"/>
        </w:tc>
        <w:tc>
          <w:tcPr>
            <w:tcW w:w="2398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5322C" w:rsidTr="006349B3">
        <w:tc>
          <w:tcPr>
            <w:tcW w:w="2358" w:type="pct"/>
            <w:vAlign w:val="center"/>
          </w:tcPr>
          <w:p w:rsidR="005777A4" w:rsidRDefault="00AA2882">
            <w:pPr>
              <w:pStyle w:val="SCCLsocPrefix"/>
            </w:pPr>
            <w:r>
              <w:t>BETWEEN:</w:t>
            </w:r>
            <w:r>
              <w:br/>
            </w:r>
          </w:p>
          <w:p w:rsidR="005777A4" w:rsidRDefault="00AA2882">
            <w:pPr>
              <w:pStyle w:val="SCCLsocParty"/>
            </w:pPr>
            <w:r>
              <w:t>L.S.</w:t>
            </w:r>
            <w:r>
              <w:br/>
            </w:r>
          </w:p>
          <w:p w:rsidR="005777A4" w:rsidRDefault="00AA2882">
            <w:pPr>
              <w:pStyle w:val="SCCLsocPartyRole"/>
            </w:pPr>
            <w:r>
              <w:t>Applicant</w:t>
            </w:r>
            <w:r>
              <w:br/>
            </w:r>
          </w:p>
          <w:p w:rsidR="005777A4" w:rsidRDefault="00AA2882">
            <w:pPr>
              <w:pStyle w:val="SCCLsocVersus"/>
            </w:pPr>
            <w:r>
              <w:t>- and -</w:t>
            </w:r>
            <w:r>
              <w:br/>
            </w:r>
          </w:p>
          <w:p w:rsidR="005777A4" w:rsidRDefault="00AA2882">
            <w:pPr>
              <w:pStyle w:val="SCCLsocParty"/>
            </w:pPr>
            <w:r>
              <w:t>D.G.</w:t>
            </w:r>
            <w:r>
              <w:br/>
            </w:r>
          </w:p>
          <w:p w:rsidR="005777A4" w:rsidRDefault="00AA2882">
            <w:pPr>
              <w:pStyle w:val="SCCLsocPartyRole"/>
            </w:pPr>
            <w:r>
              <w:t>Respondent</w:t>
            </w:r>
          </w:p>
        </w:tc>
        <w:tc>
          <w:tcPr>
            <w:tcW w:w="244" w:type="pct"/>
            <w:vAlign w:val="center"/>
          </w:tcPr>
          <w:p w:rsidR="00824412" w:rsidRPr="006E7BAE" w:rsidRDefault="00824412" w:rsidP="00375294"/>
        </w:tc>
        <w:tc>
          <w:tcPr>
            <w:tcW w:w="2398" w:type="pct"/>
            <w:vAlign w:val="center"/>
          </w:tcPr>
          <w:p w:rsidR="005777A4" w:rsidRPr="0015322C" w:rsidRDefault="00AA2882">
            <w:pPr>
              <w:pStyle w:val="SCCLsocPrefix"/>
              <w:rPr>
                <w:lang w:val="fr-CA"/>
              </w:rPr>
            </w:pPr>
            <w:r w:rsidRPr="0015322C">
              <w:rPr>
                <w:lang w:val="fr-CA"/>
              </w:rPr>
              <w:t>ENTRE :</w:t>
            </w:r>
            <w:r w:rsidRPr="0015322C">
              <w:rPr>
                <w:lang w:val="fr-CA"/>
              </w:rPr>
              <w:br/>
            </w:r>
          </w:p>
          <w:p w:rsidR="005777A4" w:rsidRPr="0015322C" w:rsidRDefault="00AA2882">
            <w:pPr>
              <w:pStyle w:val="SCCLsocParty"/>
              <w:rPr>
                <w:lang w:val="fr-CA"/>
              </w:rPr>
            </w:pPr>
            <w:r w:rsidRPr="0015322C">
              <w:rPr>
                <w:lang w:val="fr-CA"/>
              </w:rPr>
              <w:t>L.S.</w:t>
            </w:r>
            <w:r w:rsidRPr="0015322C">
              <w:rPr>
                <w:lang w:val="fr-CA"/>
              </w:rPr>
              <w:br/>
            </w:r>
          </w:p>
          <w:p w:rsidR="005777A4" w:rsidRPr="0015322C" w:rsidRDefault="00AA2882">
            <w:pPr>
              <w:pStyle w:val="SCCLsocPartyRole"/>
              <w:rPr>
                <w:lang w:val="fr-CA"/>
              </w:rPr>
            </w:pPr>
            <w:r w:rsidRPr="0015322C">
              <w:rPr>
                <w:lang w:val="fr-CA"/>
              </w:rPr>
              <w:t>Demanderesse</w:t>
            </w:r>
            <w:r w:rsidRPr="0015322C">
              <w:rPr>
                <w:lang w:val="fr-CA"/>
              </w:rPr>
              <w:br/>
            </w:r>
          </w:p>
          <w:p w:rsidR="005777A4" w:rsidRPr="0015322C" w:rsidRDefault="00AA2882">
            <w:pPr>
              <w:pStyle w:val="SCCLsocVersus"/>
              <w:rPr>
                <w:lang w:val="fr-CA"/>
              </w:rPr>
            </w:pPr>
            <w:r w:rsidRPr="0015322C">
              <w:rPr>
                <w:lang w:val="fr-CA"/>
              </w:rPr>
              <w:t>- et -</w:t>
            </w:r>
            <w:r w:rsidRPr="0015322C">
              <w:rPr>
                <w:lang w:val="fr-CA"/>
              </w:rPr>
              <w:br/>
            </w:r>
          </w:p>
          <w:p w:rsidR="005777A4" w:rsidRPr="0015322C" w:rsidRDefault="00AA2882">
            <w:pPr>
              <w:pStyle w:val="SCCLsocParty"/>
              <w:rPr>
                <w:lang w:val="fr-CA"/>
              </w:rPr>
            </w:pPr>
            <w:r w:rsidRPr="0015322C">
              <w:rPr>
                <w:lang w:val="fr-CA"/>
              </w:rPr>
              <w:t>D.G.</w:t>
            </w:r>
            <w:r w:rsidRPr="0015322C">
              <w:rPr>
                <w:lang w:val="fr-CA"/>
              </w:rPr>
              <w:br/>
            </w:r>
          </w:p>
          <w:p w:rsidR="005777A4" w:rsidRPr="0015322C" w:rsidRDefault="00AA2882" w:rsidP="002A607E">
            <w:pPr>
              <w:pStyle w:val="SCCLsocPartyRole"/>
              <w:rPr>
                <w:lang w:val="fr-CA"/>
              </w:rPr>
            </w:pPr>
            <w:r w:rsidRPr="0015322C">
              <w:rPr>
                <w:lang w:val="fr-CA"/>
              </w:rPr>
              <w:t>Intimé</w:t>
            </w:r>
          </w:p>
        </w:tc>
      </w:tr>
      <w:tr w:rsidR="00824412" w:rsidRPr="0015322C" w:rsidTr="006349B3">
        <w:tc>
          <w:tcPr>
            <w:tcW w:w="2358" w:type="pct"/>
            <w:vAlign w:val="center"/>
          </w:tcPr>
          <w:p w:rsidR="00824412" w:rsidRPr="0015322C" w:rsidRDefault="00824412" w:rsidP="00375294">
            <w:pPr>
              <w:rPr>
                <w:lang w:val="fr-CA"/>
              </w:rPr>
            </w:pPr>
          </w:p>
          <w:p w:rsidR="00824412" w:rsidRPr="0015322C" w:rsidRDefault="00824412" w:rsidP="00375294">
            <w:pPr>
              <w:rPr>
                <w:lang w:val="fr-CA"/>
              </w:rPr>
            </w:pPr>
          </w:p>
        </w:tc>
        <w:tc>
          <w:tcPr>
            <w:tcW w:w="244" w:type="pct"/>
            <w:vAlign w:val="center"/>
          </w:tcPr>
          <w:p w:rsidR="00824412" w:rsidRPr="0015322C" w:rsidRDefault="00824412" w:rsidP="00375294">
            <w:pPr>
              <w:rPr>
                <w:lang w:val="fr-CA"/>
              </w:rPr>
            </w:pPr>
          </w:p>
        </w:tc>
        <w:tc>
          <w:tcPr>
            <w:tcW w:w="2398" w:type="pct"/>
            <w:vAlign w:val="center"/>
          </w:tcPr>
          <w:p w:rsidR="00824412" w:rsidRPr="0015322C" w:rsidRDefault="00824412" w:rsidP="00B408F8">
            <w:pPr>
              <w:rPr>
                <w:lang w:val="fr-CA"/>
              </w:rPr>
            </w:pPr>
          </w:p>
        </w:tc>
      </w:tr>
      <w:tr w:rsidR="00824412" w:rsidRPr="006B2E3E" w:rsidTr="006349B3">
        <w:trPr>
          <w:trHeight w:val="3222"/>
        </w:trPr>
        <w:tc>
          <w:tcPr>
            <w:tcW w:w="2358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7D4176" w:rsidP="007D4176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 xml:space="preserve">, Number </w:t>
            </w:r>
            <w:r w:rsidR="00824412">
              <w:t>500-09-020481-107</w:t>
            </w:r>
            <w:r w:rsidR="00824412" w:rsidRPr="006E7BAE">
              <w:t xml:space="preserve">, </w:t>
            </w:r>
            <w:r w:rsidR="006349B3">
              <w:t xml:space="preserve">2010 QCCA 2374, </w:t>
            </w:r>
            <w:r w:rsidR="00824412" w:rsidRPr="006E7BAE">
              <w:t xml:space="preserve">dated </w:t>
            </w:r>
            <w:r w:rsidR="00824412">
              <w:t>December 21, 2010</w:t>
            </w:r>
            <w:r>
              <w:t>,</w:t>
            </w:r>
            <w:r w:rsidR="00824412" w:rsidRPr="006E7BAE">
              <w:t xml:space="preserve"> is </w:t>
            </w:r>
            <w:r>
              <w:t>dismissed with</w:t>
            </w:r>
            <w:r w:rsidR="006349B3">
              <w:t>out</w:t>
            </w:r>
            <w:r>
              <w:t xml:space="preserve"> costs</w:t>
            </w:r>
            <w:r w:rsidR="00824412" w:rsidRPr="006E7BAE">
              <w:t>.</w:t>
            </w:r>
          </w:p>
        </w:tc>
        <w:tc>
          <w:tcPr>
            <w:tcW w:w="244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98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7D4176" w:rsidP="006349B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accordée.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5322C">
              <w:rPr>
                <w:lang w:val="fr-CA"/>
              </w:rPr>
              <w:t>Cour d’appel du Québec (Montréal)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5322C">
              <w:rPr>
                <w:lang w:val="fr-CA"/>
              </w:rPr>
              <w:t>500-09-020481-107</w:t>
            </w:r>
            <w:r w:rsidR="00824412" w:rsidRPr="006E7BAE">
              <w:rPr>
                <w:lang w:val="fr-CA"/>
              </w:rPr>
              <w:t xml:space="preserve">, </w:t>
            </w:r>
            <w:r w:rsidR="006349B3">
              <w:rPr>
                <w:lang w:val="fr-CA"/>
              </w:rPr>
              <w:t xml:space="preserve">2010 QCCA 2374,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5322C">
              <w:rPr>
                <w:lang w:val="fr-CA"/>
              </w:rPr>
              <w:t>21 décembre 2010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 xml:space="preserve">rejetée </w:t>
            </w:r>
            <w:r w:rsidR="006349B3">
              <w:rPr>
                <w:lang w:val="fr-CA"/>
              </w:rPr>
              <w:t xml:space="preserve">sans </w:t>
            </w:r>
            <w:r>
              <w:rPr>
                <w:lang w:val="fr-CA"/>
              </w:rPr>
              <w:t>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A9467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9467C" w:rsidRPr="00D83B8C">
        <w:rPr>
          <w:lang w:val="fr-CA"/>
        </w:rPr>
        <w:t xml:space="preserve"> </w:t>
      </w:r>
    </w:p>
    <w:sectPr w:rsidR="003A37CF" w:rsidRPr="00D83B8C" w:rsidSect="00162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7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67C" w:rsidRDefault="00A9467C">
      <w:r>
        <w:separator/>
      </w:r>
    </w:p>
  </w:endnote>
  <w:endnote w:type="continuationSeparator" w:id="0">
    <w:p w:rsidR="00A9467C" w:rsidRDefault="00A9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67C" w:rsidRDefault="00A9467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67C" w:rsidRDefault="00A9467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67C" w:rsidRDefault="00A9467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67C" w:rsidRDefault="00A9467C">
      <w:r>
        <w:separator/>
      </w:r>
    </w:p>
  </w:footnote>
  <w:footnote w:type="continuationSeparator" w:id="0">
    <w:p w:rsidR="00A9467C" w:rsidRDefault="00A94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67C" w:rsidRDefault="00A9467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67C" w:rsidRDefault="00A9467C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A3C4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A3C41" w:rsidRPr="00417FB7">
      <w:rPr>
        <w:szCs w:val="24"/>
      </w:rPr>
      <w:fldChar w:fldCharType="separate"/>
    </w:r>
    <w:r w:rsidR="001626EE">
      <w:rPr>
        <w:noProof/>
        <w:szCs w:val="24"/>
      </w:rPr>
      <w:t>2</w:t>
    </w:r>
    <w:r w:rsidR="001A3C4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A9467C" w:rsidRDefault="00A9467C" w:rsidP="008F53F3">
    <w:pPr>
      <w:rPr>
        <w:szCs w:val="24"/>
      </w:rPr>
    </w:pPr>
  </w:p>
  <w:p w:rsidR="00A9467C" w:rsidRDefault="00A9467C" w:rsidP="008F53F3">
    <w:pPr>
      <w:rPr>
        <w:szCs w:val="24"/>
      </w:rPr>
    </w:pPr>
  </w:p>
  <w:p w:rsidR="00A9467C" w:rsidRDefault="00A9467C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34114</w:t>
    </w:r>
    <w:r>
      <w:rPr>
        <w:szCs w:val="24"/>
      </w:rPr>
      <w:t>     </w:t>
    </w:r>
  </w:p>
  <w:p w:rsidR="00A9467C" w:rsidRDefault="00A9467C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67C" w:rsidRDefault="00A9467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12FEF"/>
    <w:rsid w:val="0015322C"/>
    <w:rsid w:val="001626EE"/>
    <w:rsid w:val="0016666F"/>
    <w:rsid w:val="00167C15"/>
    <w:rsid w:val="001A3C41"/>
    <w:rsid w:val="001D0116"/>
    <w:rsid w:val="001D4323"/>
    <w:rsid w:val="00203642"/>
    <w:rsid w:val="002523DE"/>
    <w:rsid w:val="002568D3"/>
    <w:rsid w:val="0027284C"/>
    <w:rsid w:val="002A607E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777A4"/>
    <w:rsid w:val="00587869"/>
    <w:rsid w:val="00612913"/>
    <w:rsid w:val="00614908"/>
    <w:rsid w:val="006349B3"/>
    <w:rsid w:val="00650109"/>
    <w:rsid w:val="006B2E3E"/>
    <w:rsid w:val="006E7BAE"/>
    <w:rsid w:val="00701109"/>
    <w:rsid w:val="007372EA"/>
    <w:rsid w:val="0079129C"/>
    <w:rsid w:val="007917FE"/>
    <w:rsid w:val="007A54CC"/>
    <w:rsid w:val="007C5DE8"/>
    <w:rsid w:val="007D4176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9467C"/>
    <w:rsid w:val="00AA2882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0BB7-D8E7-49D6-B3A0-B8C8BBB6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8</cp:revision>
  <dcterms:created xsi:type="dcterms:W3CDTF">2011-06-03T16:12:00Z</dcterms:created>
  <dcterms:modified xsi:type="dcterms:W3CDTF">2011-07-04T18:25:00Z</dcterms:modified>
</cp:coreProperties>
</file>