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85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1"/>
        <w:gridCol w:w="630"/>
        <w:gridCol w:w="4319"/>
      </w:tblGrid>
      <w:tr w:rsidR="00076D17" w:rsidRPr="006E7BAE" w:rsidTr="00076D17">
        <w:tc>
          <w:tcPr>
            <w:tcW w:w="2364" w:type="pct"/>
          </w:tcPr>
          <w:p w:rsidR="00417FB7" w:rsidRPr="006E7BAE" w:rsidRDefault="00EE2A6C" w:rsidP="008262A3">
            <w:r>
              <w:t>May 5, 2011</w:t>
            </w:r>
          </w:p>
        </w:tc>
        <w:tc>
          <w:tcPr>
            <w:tcW w:w="335" w:type="pct"/>
          </w:tcPr>
          <w:p w:rsidR="00417FB7" w:rsidRPr="006E7BAE" w:rsidRDefault="00417FB7" w:rsidP="00382FEC"/>
        </w:tc>
        <w:tc>
          <w:tcPr>
            <w:tcW w:w="230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5 mai 2011</w:t>
            </w:r>
          </w:p>
        </w:tc>
      </w:tr>
      <w:tr w:rsidR="00076D17" w:rsidRPr="006E7BAE" w:rsidTr="00076D17">
        <w:tc>
          <w:tcPr>
            <w:tcW w:w="2364" w:type="pct"/>
          </w:tcPr>
          <w:p w:rsidR="00C2612E" w:rsidRPr="006E7BAE" w:rsidRDefault="00C2612E" w:rsidP="008262A3"/>
        </w:tc>
        <w:tc>
          <w:tcPr>
            <w:tcW w:w="335" w:type="pct"/>
          </w:tcPr>
          <w:p w:rsidR="00E12A51" w:rsidRPr="006E7BAE" w:rsidRDefault="00E12A51" w:rsidP="00382FEC"/>
        </w:tc>
        <w:tc>
          <w:tcPr>
            <w:tcW w:w="230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076D17" w:rsidRPr="00DD7371" w:rsidTr="00076D17">
        <w:tc>
          <w:tcPr>
            <w:tcW w:w="236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Deschamps and Charron JJ.</w:t>
            </w:r>
          </w:p>
        </w:tc>
        <w:tc>
          <w:tcPr>
            <w:tcW w:w="335" w:type="pct"/>
          </w:tcPr>
          <w:p w:rsidR="00417FB7" w:rsidRPr="006E7BAE" w:rsidRDefault="00417FB7" w:rsidP="00382FEC"/>
        </w:tc>
        <w:tc>
          <w:tcPr>
            <w:tcW w:w="230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393E">
              <w:rPr>
                <w:lang w:val="fr-FR"/>
              </w:rPr>
              <w:t>Les juges LeBel, Deschamps et Charron</w:t>
            </w:r>
          </w:p>
        </w:tc>
      </w:tr>
      <w:tr w:rsidR="00076D17" w:rsidRPr="00DD7371" w:rsidTr="00076D17">
        <w:tc>
          <w:tcPr>
            <w:tcW w:w="2364" w:type="pct"/>
          </w:tcPr>
          <w:p w:rsidR="00C2612E" w:rsidRPr="0086393E" w:rsidRDefault="00C2612E" w:rsidP="008262A3">
            <w:pPr>
              <w:rPr>
                <w:lang w:val="fr-FR"/>
              </w:rPr>
            </w:pPr>
          </w:p>
          <w:p w:rsidR="00C2612E" w:rsidRPr="0086393E" w:rsidRDefault="00C2612E" w:rsidP="008262A3">
            <w:pPr>
              <w:rPr>
                <w:lang w:val="fr-FR"/>
              </w:rPr>
            </w:pPr>
          </w:p>
        </w:tc>
        <w:tc>
          <w:tcPr>
            <w:tcW w:w="335" w:type="pct"/>
          </w:tcPr>
          <w:p w:rsidR="00C2612E" w:rsidRPr="0086393E" w:rsidRDefault="00C2612E" w:rsidP="00382FEC">
            <w:pPr>
              <w:rPr>
                <w:lang w:val="fr-FR"/>
              </w:rPr>
            </w:pPr>
          </w:p>
        </w:tc>
        <w:tc>
          <w:tcPr>
            <w:tcW w:w="230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076D17" w:rsidRPr="006E7BAE" w:rsidTr="00076D17">
        <w:tc>
          <w:tcPr>
            <w:tcW w:w="2364" w:type="pct"/>
            <w:vAlign w:val="center"/>
          </w:tcPr>
          <w:p w:rsidR="000809F9" w:rsidRDefault="00584FB3">
            <w:pPr>
              <w:pStyle w:val="SCCLsocPrefix"/>
            </w:pPr>
            <w:r>
              <w:t>BETWEEN:</w:t>
            </w:r>
            <w:r>
              <w:br/>
            </w:r>
          </w:p>
          <w:p w:rsidR="000809F9" w:rsidRDefault="00584FB3">
            <w:pPr>
              <w:pStyle w:val="SCCLsocParty"/>
            </w:pPr>
            <w:r>
              <w:t>Smadar Dahan</w:t>
            </w:r>
            <w:r>
              <w:br/>
            </w:r>
          </w:p>
          <w:p w:rsidR="000809F9" w:rsidRDefault="00584FB3">
            <w:pPr>
              <w:pStyle w:val="SCCLsocPartyRole"/>
            </w:pPr>
            <w:r>
              <w:t>Applicant</w:t>
            </w:r>
            <w:r>
              <w:br/>
            </w:r>
          </w:p>
          <w:p w:rsidR="000809F9" w:rsidRDefault="00584FB3">
            <w:pPr>
              <w:pStyle w:val="SCCLsocVersus"/>
            </w:pPr>
            <w:r>
              <w:t>- and -</w:t>
            </w:r>
            <w:r>
              <w:br/>
            </w:r>
          </w:p>
          <w:p w:rsidR="000809F9" w:rsidRDefault="00584FB3">
            <w:pPr>
              <w:pStyle w:val="SCCLsocParty"/>
            </w:pPr>
            <w:r>
              <w:t>David Delderfield</w:t>
            </w:r>
            <w:r>
              <w:br/>
            </w:r>
          </w:p>
          <w:p w:rsidR="000809F9" w:rsidRDefault="00584FB3">
            <w:pPr>
              <w:pStyle w:val="SCCLsocPartyRole"/>
            </w:pPr>
            <w:r>
              <w:t>Respondent</w:t>
            </w:r>
            <w:r>
              <w:br/>
            </w:r>
          </w:p>
          <w:p w:rsidR="000809F9" w:rsidRDefault="00584FB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809F9" w:rsidRPr="0086393E" w:rsidRDefault="00584FB3">
            <w:pPr>
              <w:pStyle w:val="SCCLsocParty"/>
              <w:rPr>
                <w:lang w:val="fr-FR"/>
              </w:rPr>
            </w:pPr>
            <w:r w:rsidRPr="0086393E">
              <w:rPr>
                <w:lang w:val="fr-FR"/>
              </w:rPr>
              <w:t>Smadar Dahan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Role"/>
              <w:rPr>
                <w:lang w:val="fr-FR"/>
              </w:rPr>
            </w:pPr>
            <w:r w:rsidRPr="0086393E">
              <w:rPr>
                <w:lang w:val="fr-FR"/>
              </w:rPr>
              <w:t>Applicant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Versus"/>
              <w:rPr>
                <w:lang w:val="fr-FR"/>
              </w:rPr>
            </w:pPr>
            <w:r w:rsidRPr="0086393E">
              <w:rPr>
                <w:lang w:val="fr-FR"/>
              </w:rPr>
              <w:t>- and -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"/>
              <w:rPr>
                <w:lang w:val="fr-FR"/>
              </w:rPr>
            </w:pPr>
            <w:r w:rsidRPr="0086393E">
              <w:rPr>
                <w:lang w:val="fr-FR"/>
              </w:rPr>
              <w:t>Claude Pelletier, TCRI - Table de concertation des organismes au service des per</w:t>
            </w:r>
            <w:r w:rsidR="00A931AA">
              <w:rPr>
                <w:lang w:val="fr-FR"/>
              </w:rPr>
              <w:t>sonnes réfugiées et immigrantes et</w:t>
            </w:r>
            <w:r w:rsidRPr="0086393E">
              <w:rPr>
                <w:lang w:val="fr-FR"/>
              </w:rPr>
              <w:t xml:space="preserve"> Barreau du Québec</w:t>
            </w:r>
            <w:r w:rsidRPr="0086393E">
              <w:rPr>
                <w:lang w:val="fr-FR"/>
              </w:rPr>
              <w:br/>
            </w:r>
          </w:p>
          <w:p w:rsidR="000809F9" w:rsidRDefault="00584FB3">
            <w:pPr>
              <w:pStyle w:val="SCCLsocPartyRole"/>
            </w:pPr>
            <w:r>
              <w:t>Respondents</w:t>
            </w:r>
            <w:r>
              <w:br/>
            </w:r>
          </w:p>
          <w:p w:rsidR="000809F9" w:rsidRDefault="0086393E">
            <w:pPr>
              <w:pStyle w:val="SCCLsocSubfileSeparator"/>
            </w:pPr>
            <w:r>
              <w:t>AND</w:t>
            </w:r>
            <w:r w:rsidR="00584FB3">
              <w:t>:</w:t>
            </w:r>
            <w:r w:rsidR="00584FB3">
              <w:br/>
            </w:r>
          </w:p>
          <w:p w:rsidR="000809F9" w:rsidRDefault="00584FB3">
            <w:pPr>
              <w:pStyle w:val="SCCLsocParty"/>
            </w:pPr>
            <w:r>
              <w:t>Smadar Dahan</w:t>
            </w:r>
            <w:r>
              <w:br/>
            </w:r>
          </w:p>
          <w:p w:rsidR="000809F9" w:rsidRDefault="00584FB3">
            <w:pPr>
              <w:pStyle w:val="SCCLsocPartyRole"/>
            </w:pPr>
            <w:r>
              <w:t>Applicant</w:t>
            </w:r>
            <w:r>
              <w:br/>
            </w:r>
          </w:p>
          <w:p w:rsidR="000809F9" w:rsidRDefault="00584FB3">
            <w:pPr>
              <w:pStyle w:val="SCCLsocVersus"/>
            </w:pPr>
            <w:r>
              <w:t>- and -</w:t>
            </w:r>
            <w:r>
              <w:br/>
            </w:r>
          </w:p>
          <w:p w:rsidR="000809F9" w:rsidRDefault="00584FB3">
            <w:pPr>
              <w:pStyle w:val="SCCLsocParty"/>
            </w:pPr>
            <w:r>
              <w:t>Harvey Toulch</w:t>
            </w:r>
            <w:r>
              <w:br/>
            </w:r>
          </w:p>
          <w:p w:rsidR="000809F9" w:rsidRDefault="00584FB3">
            <w:pPr>
              <w:pStyle w:val="SCCLsocPartyRole"/>
            </w:pPr>
            <w:r>
              <w:lastRenderedPageBreak/>
              <w:t>Respondent</w:t>
            </w:r>
            <w:r>
              <w:br/>
            </w:r>
          </w:p>
          <w:p w:rsidR="000809F9" w:rsidRDefault="0086393E">
            <w:pPr>
              <w:pStyle w:val="SCCLsocSubfileSeparator"/>
            </w:pPr>
            <w:r>
              <w:t>AND</w:t>
            </w:r>
            <w:r w:rsidR="00584FB3">
              <w:t>:</w:t>
            </w:r>
            <w:r w:rsidR="00584FB3">
              <w:br/>
            </w:r>
          </w:p>
          <w:p w:rsidR="000809F9" w:rsidRDefault="00584FB3">
            <w:pPr>
              <w:pStyle w:val="SCCLsocParty"/>
            </w:pPr>
            <w:r>
              <w:t>Smadar Dahan</w:t>
            </w:r>
            <w:r>
              <w:br/>
            </w:r>
          </w:p>
          <w:p w:rsidR="000809F9" w:rsidRDefault="00584FB3">
            <w:pPr>
              <w:pStyle w:val="SCCLsocPartyRole"/>
            </w:pPr>
            <w:r>
              <w:t>Applicant</w:t>
            </w:r>
            <w:r>
              <w:br/>
            </w:r>
          </w:p>
          <w:p w:rsidR="000809F9" w:rsidRDefault="00584FB3">
            <w:pPr>
              <w:pStyle w:val="SCCLsocVersus"/>
            </w:pPr>
            <w:r>
              <w:t>- and -</w:t>
            </w:r>
            <w:r>
              <w:br/>
            </w:r>
          </w:p>
          <w:p w:rsidR="000809F9" w:rsidRDefault="00584FB3">
            <w:pPr>
              <w:pStyle w:val="SCCLsocParty"/>
            </w:pPr>
            <w:r>
              <w:t>David Delderfield, Harvey Toulch</w:t>
            </w:r>
            <w:r>
              <w:br/>
            </w:r>
          </w:p>
          <w:p w:rsidR="000809F9" w:rsidRDefault="00584FB3">
            <w:pPr>
              <w:pStyle w:val="SCCLsocPartyRole"/>
            </w:pPr>
            <w:r>
              <w:t>Respondents</w:t>
            </w:r>
          </w:p>
        </w:tc>
        <w:tc>
          <w:tcPr>
            <w:tcW w:w="335" w:type="pct"/>
            <w:vAlign w:val="center"/>
          </w:tcPr>
          <w:p w:rsidR="00824412" w:rsidRPr="006E7BAE" w:rsidRDefault="00824412" w:rsidP="00375294"/>
        </w:tc>
        <w:tc>
          <w:tcPr>
            <w:tcW w:w="2300" w:type="pct"/>
            <w:vAlign w:val="center"/>
          </w:tcPr>
          <w:p w:rsidR="000809F9" w:rsidRPr="0086393E" w:rsidRDefault="00584FB3">
            <w:pPr>
              <w:pStyle w:val="SCCLsocPrefix"/>
              <w:rPr>
                <w:lang w:val="fr-FR"/>
              </w:rPr>
            </w:pPr>
            <w:r w:rsidRPr="0086393E">
              <w:rPr>
                <w:lang w:val="fr-FR"/>
              </w:rPr>
              <w:t>ENTRE :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"/>
              <w:rPr>
                <w:lang w:val="fr-FR"/>
              </w:rPr>
            </w:pPr>
            <w:r w:rsidRPr="0086393E">
              <w:rPr>
                <w:lang w:val="fr-FR"/>
              </w:rPr>
              <w:t>Smadar Dahan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86393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584FB3" w:rsidRPr="0086393E">
              <w:rPr>
                <w:lang w:val="fr-FR"/>
              </w:rPr>
              <w:br/>
            </w:r>
          </w:p>
          <w:p w:rsidR="000809F9" w:rsidRPr="00EA743B" w:rsidRDefault="00584FB3">
            <w:pPr>
              <w:pStyle w:val="SCCLsocVersus"/>
              <w:rPr>
                <w:lang w:val="fr-CA"/>
              </w:rPr>
            </w:pPr>
            <w:r w:rsidRPr="00EA743B">
              <w:rPr>
                <w:lang w:val="fr-CA"/>
              </w:rPr>
              <w:t>- et -</w:t>
            </w:r>
            <w:r w:rsidRPr="00EA743B">
              <w:rPr>
                <w:lang w:val="fr-CA"/>
              </w:rPr>
              <w:br/>
            </w:r>
          </w:p>
          <w:p w:rsidR="000809F9" w:rsidRPr="00EA743B" w:rsidRDefault="00584FB3">
            <w:pPr>
              <w:pStyle w:val="SCCLsocParty"/>
              <w:rPr>
                <w:lang w:val="fr-CA"/>
              </w:rPr>
            </w:pPr>
            <w:r w:rsidRPr="00EA743B">
              <w:rPr>
                <w:lang w:val="fr-CA"/>
              </w:rPr>
              <w:t xml:space="preserve">David </w:t>
            </w:r>
            <w:proofErr w:type="spellStart"/>
            <w:r w:rsidRPr="00EA743B">
              <w:rPr>
                <w:lang w:val="fr-CA"/>
              </w:rPr>
              <w:t>Delderfield</w:t>
            </w:r>
            <w:proofErr w:type="spellEnd"/>
            <w:r w:rsidRPr="00EA743B">
              <w:rPr>
                <w:lang w:val="fr-CA"/>
              </w:rPr>
              <w:br/>
            </w:r>
          </w:p>
          <w:p w:rsidR="000809F9" w:rsidRPr="00EA743B" w:rsidRDefault="0086393E">
            <w:pPr>
              <w:pStyle w:val="SCCLsocPartyRole"/>
              <w:rPr>
                <w:lang w:val="fr-CA"/>
              </w:rPr>
            </w:pPr>
            <w:r w:rsidRPr="00EA743B">
              <w:rPr>
                <w:lang w:val="fr-CA"/>
              </w:rPr>
              <w:t>Intimé</w:t>
            </w:r>
            <w:r w:rsidR="00584FB3" w:rsidRPr="00EA743B">
              <w:rPr>
                <w:lang w:val="fr-CA"/>
              </w:rPr>
              <w:br/>
            </w:r>
          </w:p>
          <w:p w:rsidR="000809F9" w:rsidRPr="0086393E" w:rsidRDefault="00584FB3">
            <w:pPr>
              <w:pStyle w:val="SCCLsocSubfileSeparator"/>
              <w:rPr>
                <w:lang w:val="fr-FR"/>
              </w:rPr>
            </w:pPr>
            <w:r w:rsidRPr="0086393E">
              <w:rPr>
                <w:lang w:val="fr-FR"/>
              </w:rPr>
              <w:t>ET ENTRE :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"/>
              <w:rPr>
                <w:lang w:val="fr-FR"/>
              </w:rPr>
            </w:pPr>
            <w:r w:rsidRPr="0086393E">
              <w:rPr>
                <w:lang w:val="fr-FR"/>
              </w:rPr>
              <w:t>Smadar Dahan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26F7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86393E">
              <w:rPr>
                <w:lang w:val="fr-FR"/>
              </w:rPr>
              <w:t>r</w:t>
            </w:r>
            <w:r>
              <w:rPr>
                <w:lang w:val="fr-FR"/>
              </w:rPr>
              <w:t>esse</w:t>
            </w:r>
            <w:r w:rsidR="00584FB3"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Versus"/>
              <w:rPr>
                <w:lang w:val="fr-FR"/>
              </w:rPr>
            </w:pPr>
            <w:r w:rsidRPr="0086393E">
              <w:rPr>
                <w:lang w:val="fr-FR"/>
              </w:rPr>
              <w:t>- et -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316F4A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Claude Pelletier, TCRI -</w:t>
            </w:r>
            <w:r w:rsidR="00584FB3" w:rsidRPr="0086393E">
              <w:rPr>
                <w:lang w:val="fr-FR"/>
              </w:rPr>
              <w:t xml:space="preserve"> Table de concertation des organismes au service des per</w:t>
            </w:r>
            <w:r w:rsidR="00A931AA">
              <w:rPr>
                <w:lang w:val="fr-FR"/>
              </w:rPr>
              <w:t>sonnes réfugiées et immigrantes and</w:t>
            </w:r>
            <w:r w:rsidR="00584FB3" w:rsidRPr="0086393E">
              <w:rPr>
                <w:lang w:val="fr-FR"/>
              </w:rPr>
              <w:t xml:space="preserve"> Barreau du Québec</w:t>
            </w:r>
            <w:r w:rsidR="00584FB3" w:rsidRPr="0086393E">
              <w:rPr>
                <w:lang w:val="fr-FR"/>
              </w:rPr>
              <w:br/>
            </w:r>
          </w:p>
          <w:p w:rsidR="000809F9" w:rsidRPr="0086393E" w:rsidRDefault="0086393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584FB3" w:rsidRPr="0086393E">
              <w:rPr>
                <w:lang w:val="fr-FR"/>
              </w:rPr>
              <w:t>s</w:t>
            </w:r>
            <w:r w:rsidR="00584FB3" w:rsidRPr="0086393E">
              <w:rPr>
                <w:lang w:val="fr-FR"/>
              </w:rPr>
              <w:br/>
            </w:r>
          </w:p>
          <w:p w:rsidR="000809F9" w:rsidRPr="0086393E" w:rsidRDefault="0086393E">
            <w:pPr>
              <w:pStyle w:val="SCCLsocSubfileSeparator"/>
              <w:rPr>
                <w:lang w:val="fr-FR"/>
              </w:rPr>
            </w:pPr>
            <w:r>
              <w:rPr>
                <w:lang w:val="fr-FR"/>
              </w:rPr>
              <w:t>ET</w:t>
            </w:r>
            <w:r w:rsidR="00584FB3" w:rsidRPr="0086393E">
              <w:rPr>
                <w:lang w:val="fr-FR"/>
              </w:rPr>
              <w:t xml:space="preserve"> :</w:t>
            </w:r>
            <w:r w:rsidR="00584FB3"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"/>
              <w:rPr>
                <w:lang w:val="fr-FR"/>
              </w:rPr>
            </w:pPr>
            <w:r w:rsidRPr="0086393E">
              <w:rPr>
                <w:lang w:val="fr-FR"/>
              </w:rPr>
              <w:t>Smadar Dahan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86393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584FB3"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Versus"/>
              <w:rPr>
                <w:lang w:val="fr-FR"/>
              </w:rPr>
            </w:pPr>
            <w:r w:rsidRPr="0086393E">
              <w:rPr>
                <w:lang w:val="fr-FR"/>
              </w:rPr>
              <w:t>- et -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"/>
              <w:rPr>
                <w:lang w:val="fr-FR"/>
              </w:rPr>
            </w:pPr>
            <w:r w:rsidRPr="0086393E">
              <w:rPr>
                <w:lang w:val="fr-FR"/>
              </w:rPr>
              <w:t>Harvey Toulch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584FB3">
            <w:pPr>
              <w:pStyle w:val="SCCLsocPartyRole"/>
              <w:rPr>
                <w:lang w:val="fr-FR"/>
              </w:rPr>
            </w:pPr>
            <w:r w:rsidRPr="0086393E">
              <w:rPr>
                <w:lang w:val="fr-FR"/>
              </w:rPr>
              <w:lastRenderedPageBreak/>
              <w:t>Int</w:t>
            </w:r>
            <w:r w:rsidR="0086393E">
              <w:rPr>
                <w:lang w:val="fr-FR"/>
              </w:rPr>
              <w:t>imé</w:t>
            </w:r>
            <w:r w:rsidRPr="0086393E">
              <w:rPr>
                <w:lang w:val="fr-FR"/>
              </w:rPr>
              <w:br/>
            </w:r>
          </w:p>
          <w:p w:rsidR="000809F9" w:rsidRPr="0086393E" w:rsidRDefault="0086393E">
            <w:pPr>
              <w:pStyle w:val="SCCLsocSubfileSeparator"/>
              <w:rPr>
                <w:lang w:val="fr-FR"/>
              </w:rPr>
            </w:pPr>
            <w:r>
              <w:rPr>
                <w:lang w:val="fr-FR"/>
              </w:rPr>
              <w:t>ET</w:t>
            </w:r>
            <w:r w:rsidR="00584FB3" w:rsidRPr="0086393E">
              <w:rPr>
                <w:lang w:val="fr-FR"/>
              </w:rPr>
              <w:t xml:space="preserve"> :</w:t>
            </w:r>
            <w:r w:rsidR="00584FB3" w:rsidRPr="0086393E">
              <w:rPr>
                <w:lang w:val="fr-FR"/>
              </w:rPr>
              <w:br/>
            </w:r>
          </w:p>
          <w:p w:rsidR="000809F9" w:rsidRPr="00EA743B" w:rsidRDefault="00584FB3">
            <w:pPr>
              <w:pStyle w:val="SCCLsocParty"/>
              <w:rPr>
                <w:lang w:val="en-US"/>
              </w:rPr>
            </w:pPr>
            <w:proofErr w:type="spellStart"/>
            <w:r w:rsidRPr="00EA743B">
              <w:rPr>
                <w:lang w:val="en-US"/>
              </w:rPr>
              <w:t>Smadar</w:t>
            </w:r>
            <w:proofErr w:type="spellEnd"/>
            <w:r w:rsidRPr="00EA743B">
              <w:rPr>
                <w:lang w:val="en-US"/>
              </w:rPr>
              <w:t xml:space="preserve"> </w:t>
            </w:r>
            <w:proofErr w:type="spellStart"/>
            <w:r w:rsidRPr="00EA743B">
              <w:rPr>
                <w:lang w:val="en-US"/>
              </w:rPr>
              <w:t>Dahan</w:t>
            </w:r>
            <w:proofErr w:type="spellEnd"/>
            <w:r w:rsidRPr="00EA743B">
              <w:rPr>
                <w:lang w:val="en-US"/>
              </w:rPr>
              <w:br/>
            </w:r>
          </w:p>
          <w:p w:rsidR="000809F9" w:rsidRPr="00EA743B" w:rsidRDefault="0086393E">
            <w:pPr>
              <w:pStyle w:val="SCCLsocPartyRole"/>
              <w:rPr>
                <w:lang w:val="en-US"/>
              </w:rPr>
            </w:pPr>
            <w:proofErr w:type="spellStart"/>
            <w:r w:rsidRPr="00EA743B">
              <w:rPr>
                <w:lang w:val="en-US"/>
              </w:rPr>
              <w:t>Demanderesse</w:t>
            </w:r>
            <w:proofErr w:type="spellEnd"/>
            <w:r w:rsidR="00584FB3" w:rsidRPr="00EA743B">
              <w:rPr>
                <w:lang w:val="en-US"/>
              </w:rPr>
              <w:br/>
            </w:r>
          </w:p>
          <w:p w:rsidR="000809F9" w:rsidRPr="00EA743B" w:rsidRDefault="00584FB3">
            <w:pPr>
              <w:pStyle w:val="SCCLsocVersus"/>
              <w:rPr>
                <w:lang w:val="en-US"/>
              </w:rPr>
            </w:pPr>
            <w:r w:rsidRPr="00EA743B">
              <w:rPr>
                <w:lang w:val="en-US"/>
              </w:rPr>
              <w:t>- et -</w:t>
            </w:r>
            <w:r w:rsidRPr="00EA743B">
              <w:rPr>
                <w:lang w:val="en-US"/>
              </w:rPr>
              <w:br/>
            </w:r>
          </w:p>
          <w:p w:rsidR="000809F9" w:rsidRDefault="00584FB3">
            <w:pPr>
              <w:pStyle w:val="SCCLsocParty"/>
            </w:pPr>
            <w:r>
              <w:t xml:space="preserve">David </w:t>
            </w:r>
            <w:proofErr w:type="spellStart"/>
            <w:r>
              <w:t>Delderfield</w:t>
            </w:r>
            <w:proofErr w:type="spellEnd"/>
            <w:r>
              <w:t xml:space="preserve">, Harvey </w:t>
            </w:r>
            <w:proofErr w:type="spellStart"/>
            <w:r>
              <w:t>Toulch</w:t>
            </w:r>
            <w:proofErr w:type="spellEnd"/>
            <w:r>
              <w:br/>
            </w:r>
          </w:p>
          <w:p w:rsidR="000809F9" w:rsidRDefault="0086393E">
            <w:pPr>
              <w:pStyle w:val="SCCLsocPartyRole"/>
            </w:pPr>
            <w:r>
              <w:t>Intimé</w:t>
            </w:r>
            <w:r w:rsidR="00584FB3">
              <w:t>s</w:t>
            </w:r>
          </w:p>
        </w:tc>
      </w:tr>
      <w:tr w:rsidR="00076D17" w:rsidRPr="006E7BAE" w:rsidTr="00076D17">
        <w:tc>
          <w:tcPr>
            <w:tcW w:w="236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35" w:type="pct"/>
            <w:vAlign w:val="center"/>
          </w:tcPr>
          <w:p w:rsidR="00824412" w:rsidRPr="006E7BAE" w:rsidRDefault="00824412" w:rsidP="00375294"/>
        </w:tc>
        <w:tc>
          <w:tcPr>
            <w:tcW w:w="230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076D17" w:rsidRPr="00DD7371" w:rsidTr="00076D17">
        <w:tc>
          <w:tcPr>
            <w:tcW w:w="2364" w:type="pct"/>
          </w:tcPr>
          <w:p w:rsidR="00EA743B" w:rsidRPr="006E7BAE" w:rsidRDefault="00EA743B" w:rsidP="00C21EA9">
            <w:pPr>
              <w:jc w:val="center"/>
            </w:pPr>
            <w:r w:rsidRPr="006E7BAE">
              <w:t>JUDGMENT</w:t>
            </w:r>
          </w:p>
          <w:p w:rsidR="00EA743B" w:rsidRPr="006E7BAE" w:rsidRDefault="00EA743B" w:rsidP="00C21EA9">
            <w:pPr>
              <w:jc w:val="center"/>
            </w:pPr>
          </w:p>
          <w:p w:rsidR="00EA743B" w:rsidRPr="006E7BAE" w:rsidRDefault="00EA743B" w:rsidP="0047215B">
            <w:pPr>
              <w:jc w:val="both"/>
            </w:pPr>
            <w:r>
              <w:t xml:space="preserve">The motion for an extension of time to serve the application for leave to appeal is granted in respect to the judgment </w:t>
            </w:r>
            <w:r w:rsidRPr="006E7BAE">
              <w:t>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>s</w:t>
            </w:r>
            <w:r w:rsidRPr="006E7BAE">
              <w:t xml:space="preserve"> </w:t>
            </w:r>
            <w:r>
              <w:t>500-09-019394-097 and 500-09-019661-099</w:t>
            </w:r>
            <w:r w:rsidRPr="006E7BAE">
              <w:t xml:space="preserve">, </w:t>
            </w:r>
            <w:r>
              <w:t xml:space="preserve">2010 QCCA 1982, </w:t>
            </w:r>
            <w:proofErr w:type="gramStart"/>
            <w:r w:rsidRPr="006E7BAE">
              <w:t>dated</w:t>
            </w:r>
            <w:proofErr w:type="gramEnd"/>
            <w:r w:rsidRPr="006E7BAE">
              <w:t xml:space="preserve"> </w:t>
            </w:r>
            <w:r>
              <w:t xml:space="preserve">November 3, 2010. The motion to serve and file </w:t>
            </w:r>
            <w:r w:rsidR="0047215B">
              <w:t xml:space="preserve">is dismissed in respect of </w:t>
            </w:r>
            <w:r>
              <w:t xml:space="preserve">the judgments of the Court of Appeal of Quebec (Montréal), Numbers 500-09-018331-082 and 500-09-020160-099, 2008 QCCA 1905 and 2009 QCCA 2454, dated October 6, 2008, and December 14, 2009. The motion to appoint counsel is dismissed. All other ancillary motions are granted. </w:t>
            </w:r>
            <w:r w:rsidRPr="006E7BAE">
              <w:t>The application for leave to appeal from the judgment</w:t>
            </w:r>
            <w:r>
              <w:t xml:space="preserve"> of the Court of Appeal of Quebec dated November 3, 2010, is dismissed with costs to the respondent </w:t>
            </w:r>
            <w:proofErr w:type="spellStart"/>
            <w:r>
              <w:t>Barreau</w:t>
            </w:r>
            <w:proofErr w:type="spellEnd"/>
            <w:r>
              <w:t xml:space="preserve"> du Québec</w:t>
            </w:r>
            <w:r w:rsidRPr="006E7BAE">
              <w:t>.</w:t>
            </w:r>
          </w:p>
        </w:tc>
        <w:tc>
          <w:tcPr>
            <w:tcW w:w="335" w:type="pct"/>
          </w:tcPr>
          <w:p w:rsidR="00EA743B" w:rsidRPr="006E7BAE" w:rsidRDefault="00EA743B" w:rsidP="00417FB7">
            <w:pPr>
              <w:jc w:val="center"/>
            </w:pPr>
          </w:p>
        </w:tc>
        <w:tc>
          <w:tcPr>
            <w:tcW w:w="2300" w:type="pct"/>
          </w:tcPr>
          <w:p w:rsidR="00EA743B" w:rsidRPr="006E7BAE" w:rsidRDefault="00EA743B" w:rsidP="00C21EA9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EA743B" w:rsidRPr="006E7BAE" w:rsidRDefault="00EA743B" w:rsidP="00C21EA9">
            <w:pPr>
              <w:jc w:val="center"/>
              <w:rPr>
                <w:lang w:val="fr-CA"/>
              </w:rPr>
            </w:pPr>
          </w:p>
          <w:p w:rsidR="00EA743B" w:rsidRPr="006E7BAE" w:rsidRDefault="00EA743B" w:rsidP="002448BA">
            <w:pPr>
              <w:ind w:right="61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de la demande d’autorisation d’appel est accueillie en ce  qui concerne l’arrêt de la </w:t>
            </w:r>
            <w:r w:rsidRPr="009E2EF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E2EF6">
              <w:rPr>
                <w:lang w:val="fr-CA"/>
              </w:rPr>
              <w:t>500-09-019394-097</w:t>
            </w:r>
            <w:r>
              <w:rPr>
                <w:lang w:val="fr-CA"/>
              </w:rPr>
              <w:t xml:space="preserve"> et</w:t>
            </w:r>
            <w:r w:rsidRPr="009E2EF6">
              <w:rPr>
                <w:lang w:val="fr-CA"/>
              </w:rPr>
              <w:t xml:space="preserve"> 500-09-019661-099</w:t>
            </w:r>
            <w:r w:rsidRPr="006E7BAE">
              <w:rPr>
                <w:lang w:val="fr-CA"/>
              </w:rPr>
              <w:t xml:space="preserve">, </w:t>
            </w:r>
            <w:r w:rsidRPr="009E2EF6">
              <w:rPr>
                <w:lang w:val="fr-CA"/>
              </w:rPr>
              <w:t xml:space="preserve">2010 QCCA 1982, </w:t>
            </w:r>
            <w:r w:rsidRPr="006E7BAE">
              <w:rPr>
                <w:lang w:val="fr-CA"/>
              </w:rPr>
              <w:t xml:space="preserve">daté du </w:t>
            </w:r>
            <w:r w:rsidRPr="009E2EF6">
              <w:rPr>
                <w:lang w:val="fr-CA"/>
              </w:rPr>
              <w:t>3 novembre 2010</w:t>
            </w:r>
            <w:r>
              <w:rPr>
                <w:lang w:val="fr-CA"/>
              </w:rPr>
              <w:t xml:space="preserve">. </w:t>
            </w:r>
            <w:r w:rsidR="002448BA">
              <w:rPr>
                <w:lang w:val="fr-CA"/>
              </w:rPr>
              <w:t>La requête pour signifier et déposer</w:t>
            </w:r>
            <w:r>
              <w:rPr>
                <w:lang w:val="fr-CA"/>
              </w:rPr>
              <w:t xml:space="preserve"> est rejetée en ce qui concerne les arrêts de la Cour d’appel du Québec (Montréal), numéros 500-09-018331-082 et 500-09-020160-099, 2008 QC</w:t>
            </w:r>
            <w:r w:rsidR="0047215B">
              <w:rPr>
                <w:lang w:val="fr-CA"/>
              </w:rPr>
              <w:t>CA 1905 et 2009 QCCA 2454, daté</w:t>
            </w:r>
            <w:r>
              <w:rPr>
                <w:lang w:val="fr-CA"/>
              </w:rPr>
              <w:t xml:space="preserve">s du 6 octobre 2008 et 14 décembre 2009. La requête pour nomination d’un avocat est rejetée. Toutes les autres requêtes accessoires sont accueillies. </w:t>
            </w:r>
            <w:r w:rsidRPr="006E7BAE">
              <w:rPr>
                <w:lang w:val="fr-CA"/>
              </w:rPr>
              <w:t>La demande d’autorisation d’appel de l’arrêt de</w:t>
            </w:r>
            <w:r>
              <w:rPr>
                <w:lang w:val="fr-CA"/>
              </w:rPr>
              <w:t xml:space="preserve"> la Cour d’appel du Québec daté du 3 novembre 2010 </w:t>
            </w:r>
            <w:r w:rsidRPr="006E7BAE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rejetée avec dépens en faveur de l’intimé Barreau du Québec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A743B" w:rsidRPr="00D83B8C" w:rsidRDefault="00EA743B" w:rsidP="00EA743B">
      <w:pPr>
        <w:jc w:val="center"/>
        <w:rPr>
          <w:lang w:val="fr-CA"/>
        </w:rPr>
      </w:pPr>
    </w:p>
    <w:p w:rsidR="00EA743B" w:rsidRDefault="00EA743B" w:rsidP="00EA743B">
      <w:pPr>
        <w:jc w:val="center"/>
        <w:rPr>
          <w:lang w:val="fr-CA"/>
        </w:rPr>
      </w:pPr>
    </w:p>
    <w:p w:rsidR="00EA743B" w:rsidRDefault="00EA743B" w:rsidP="00EA743B">
      <w:pPr>
        <w:jc w:val="center"/>
        <w:rPr>
          <w:lang w:val="fr-CA"/>
        </w:rPr>
      </w:pPr>
    </w:p>
    <w:p w:rsidR="00EA743B" w:rsidRPr="00D83B8C" w:rsidRDefault="00EA743B" w:rsidP="00EA743B">
      <w:pPr>
        <w:jc w:val="center"/>
        <w:rPr>
          <w:lang w:val="fr-CA"/>
        </w:rPr>
      </w:pPr>
    </w:p>
    <w:p w:rsidR="00EA743B" w:rsidRPr="00A252FA" w:rsidRDefault="00EA743B" w:rsidP="00EA743B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EA743B" w:rsidRPr="00D83B8C" w:rsidRDefault="00EA743B" w:rsidP="00EA743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p w:rsidR="009F436C" w:rsidRPr="00D83B8C" w:rsidRDefault="009F436C" w:rsidP="0047215B">
      <w:pPr>
        <w:ind w:hanging="90"/>
        <w:jc w:val="center"/>
        <w:rPr>
          <w:lang w:val="fr-CA"/>
        </w:rPr>
      </w:pP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B3" w:rsidRDefault="00584FB3">
      <w:r>
        <w:separator/>
      </w:r>
    </w:p>
  </w:endnote>
  <w:endnote w:type="continuationSeparator" w:id="0">
    <w:p w:rsidR="00584FB3" w:rsidRDefault="0058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B3" w:rsidRDefault="00584FB3">
      <w:r>
        <w:separator/>
      </w:r>
    </w:p>
  </w:footnote>
  <w:footnote w:type="continuationSeparator" w:id="0">
    <w:p w:rsidR="00584FB3" w:rsidRDefault="0058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4D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4D53" w:rsidRPr="00417FB7">
      <w:rPr>
        <w:szCs w:val="24"/>
      </w:rPr>
      <w:fldChar w:fldCharType="separate"/>
    </w:r>
    <w:r w:rsidR="00DD7371">
      <w:rPr>
        <w:noProof/>
        <w:szCs w:val="24"/>
      </w:rPr>
      <w:t>3</w:t>
    </w:r>
    <w:r w:rsidR="009D4D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6D17"/>
    <w:rsid w:val="000809F9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48BA"/>
    <w:rsid w:val="002523DE"/>
    <w:rsid w:val="002568D3"/>
    <w:rsid w:val="0027284C"/>
    <w:rsid w:val="002B5FA6"/>
    <w:rsid w:val="0031097F"/>
    <w:rsid w:val="0031165C"/>
    <w:rsid w:val="00316F4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215B"/>
    <w:rsid w:val="004943CF"/>
    <w:rsid w:val="004956DA"/>
    <w:rsid w:val="004D4658"/>
    <w:rsid w:val="00526F76"/>
    <w:rsid w:val="00563E2C"/>
    <w:rsid w:val="00584FB3"/>
    <w:rsid w:val="00587869"/>
    <w:rsid w:val="0061260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393E"/>
    <w:rsid w:val="008763A3"/>
    <w:rsid w:val="008813BC"/>
    <w:rsid w:val="008A153F"/>
    <w:rsid w:val="008F53F3"/>
    <w:rsid w:val="009305BF"/>
    <w:rsid w:val="00951EF6"/>
    <w:rsid w:val="00961A50"/>
    <w:rsid w:val="0096638C"/>
    <w:rsid w:val="00971A08"/>
    <w:rsid w:val="009D45DF"/>
    <w:rsid w:val="009D4D53"/>
    <w:rsid w:val="009E0F71"/>
    <w:rsid w:val="009E7A46"/>
    <w:rsid w:val="009F436C"/>
    <w:rsid w:val="00A03153"/>
    <w:rsid w:val="00A103E3"/>
    <w:rsid w:val="00A252FA"/>
    <w:rsid w:val="00A931AA"/>
    <w:rsid w:val="00AB5E22"/>
    <w:rsid w:val="00AE2077"/>
    <w:rsid w:val="00B158E3"/>
    <w:rsid w:val="00B40452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7371"/>
    <w:rsid w:val="00E12A51"/>
    <w:rsid w:val="00E777AD"/>
    <w:rsid w:val="00EA4B61"/>
    <w:rsid w:val="00EA743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802A-F762-4E98-8D6A-867F7F3A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2011-05-03T17:34:00Z</cp:lastPrinted>
  <dcterms:created xsi:type="dcterms:W3CDTF">2011-05-03T17:26:00Z</dcterms:created>
  <dcterms:modified xsi:type="dcterms:W3CDTF">2011-05-09T17:16:00Z</dcterms:modified>
</cp:coreProperties>
</file>