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42202">
            <w:r>
              <w:t xml:space="preserve">Le </w:t>
            </w:r>
            <w:r w:rsidR="00142202">
              <w:t>12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42202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38B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McLachlin C.J. and Abella and Cromwell JJ.</w:t>
            </w:r>
          </w:p>
        </w:tc>
      </w:tr>
      <w:tr w:rsidR="00C2612E" w:rsidRPr="00C138BA" w:rsidTr="00F47372">
        <w:tc>
          <w:tcPr>
            <w:tcW w:w="2269" w:type="pct"/>
          </w:tcPr>
          <w:p w:rsidR="00C2612E" w:rsidRPr="00142202" w:rsidRDefault="00C2612E" w:rsidP="008262A3">
            <w:pPr>
              <w:rPr>
                <w:lang w:val="en-CA"/>
              </w:rPr>
            </w:pPr>
          </w:p>
          <w:p w:rsidR="00C2612E" w:rsidRPr="0014220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4220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47A7B" w:rsidRDefault="00142202">
            <w:pPr>
              <w:pStyle w:val="SCCLsocPrefix"/>
            </w:pPr>
            <w:r>
              <w:t>ENTRE :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Michel DuBois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Demandeur</w:t>
            </w:r>
            <w:r>
              <w:br/>
            </w:r>
          </w:p>
          <w:p w:rsidR="00A47A7B" w:rsidRDefault="00142202">
            <w:pPr>
              <w:pStyle w:val="SCCLsocVersus"/>
            </w:pPr>
            <w:r>
              <w:t>- et -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Conse</w:t>
            </w:r>
            <w:r w:rsidR="00C138BA">
              <w:t>il de la m</w:t>
            </w:r>
            <w:r w:rsidR="006B352D">
              <w:t>agistrature du Québec et</w:t>
            </w:r>
            <w:r>
              <w:t xml:space="preserve"> Comité d'enq</w:t>
            </w:r>
            <w:r w:rsidR="00C138BA">
              <w:t>uête formé par une décision du Conseil de la m</w:t>
            </w:r>
            <w:r>
              <w:t>agistrature du 17 novembre 2004 ainsi que chacun de ses membres, en leur qualité de membre de ce comité</w:t>
            </w:r>
            <w:r>
              <w:br/>
            </w:r>
          </w:p>
          <w:p w:rsidR="006B352D" w:rsidRDefault="00142202">
            <w:pPr>
              <w:pStyle w:val="SCCLsocPartyRole"/>
            </w:pPr>
            <w:r>
              <w:t>Intimés</w:t>
            </w:r>
          </w:p>
          <w:p w:rsidR="006B352D" w:rsidRDefault="006B352D">
            <w:pPr>
              <w:pStyle w:val="SCCLsocPartyRole"/>
            </w:pPr>
          </w:p>
          <w:p w:rsidR="00A47A7B" w:rsidRDefault="006B352D">
            <w:pPr>
              <w:pStyle w:val="SCCLsocPartyRole"/>
            </w:pPr>
            <w:r>
              <w:t>- et -</w:t>
            </w:r>
            <w:r w:rsidR="00142202">
              <w:br/>
            </w:r>
          </w:p>
          <w:p w:rsidR="00A47A7B" w:rsidRDefault="00142202">
            <w:pPr>
              <w:pStyle w:val="SCCLsocParty"/>
            </w:pPr>
            <w:r>
              <w:t>Conférence des juges du Québec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47A7B" w:rsidRDefault="00142202">
            <w:pPr>
              <w:pStyle w:val="SCCLsocPrefix"/>
            </w:pPr>
            <w:r>
              <w:t>BETWEEN: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Michel DuBois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Applicant</w:t>
            </w:r>
            <w:r>
              <w:br/>
            </w:r>
          </w:p>
          <w:p w:rsidR="00A47A7B" w:rsidRDefault="00142202">
            <w:pPr>
              <w:pStyle w:val="SCCLsocVersus"/>
            </w:pPr>
            <w:r>
              <w:t>- and -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Consei</w:t>
            </w:r>
            <w:r w:rsidR="00C138BA">
              <w:t>l de la m</w:t>
            </w:r>
            <w:r w:rsidR="006B352D">
              <w:t xml:space="preserve">agistrature du Québec and </w:t>
            </w:r>
            <w:r>
              <w:t>Comité d'enq</w:t>
            </w:r>
            <w:r w:rsidR="00C138BA">
              <w:t>uête formé par une décision du Conseil de la m</w:t>
            </w:r>
            <w:r>
              <w:t>agistrature du 17 novembre 2004 ainsi que chacun de ses membres, en leur qualité de membre de ce comité</w:t>
            </w:r>
            <w:r>
              <w:br/>
            </w:r>
          </w:p>
          <w:p w:rsidR="006B352D" w:rsidRDefault="0014220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  <w:p w:rsidR="006B352D" w:rsidRDefault="006B352D">
            <w:pPr>
              <w:pStyle w:val="SCCLsocPartyRole"/>
            </w:pPr>
          </w:p>
          <w:p w:rsidR="00A47A7B" w:rsidRDefault="006B352D">
            <w:pPr>
              <w:pStyle w:val="SCCLsocPartyRole"/>
            </w:pPr>
            <w:r>
              <w:t>- and -</w:t>
            </w:r>
            <w:r w:rsidR="00142202">
              <w:br/>
            </w:r>
          </w:p>
          <w:p w:rsidR="00A47A7B" w:rsidRDefault="00142202">
            <w:pPr>
              <w:pStyle w:val="SCCLsocParty"/>
            </w:pPr>
            <w:r>
              <w:t>Conférence des juges du Québec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38BA" w:rsidTr="00F47372">
        <w:tc>
          <w:tcPr>
            <w:tcW w:w="2269" w:type="pct"/>
          </w:tcPr>
          <w:p w:rsidR="006B352D" w:rsidRDefault="006B352D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B352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B352D">
              <w:t>s</w:t>
            </w:r>
            <w:r w:rsidRPr="001E26DB">
              <w:t xml:space="preserve"> </w:t>
            </w:r>
            <w:r>
              <w:t>500-09-018177-071</w:t>
            </w:r>
            <w:r w:rsidR="006B352D">
              <w:t xml:space="preserve"> et</w:t>
            </w:r>
            <w:r>
              <w:t xml:space="preserve"> 500-09-018178-079</w:t>
            </w:r>
            <w:r w:rsidRPr="001E26DB">
              <w:t>,</w:t>
            </w:r>
            <w:r w:rsidR="006B352D">
              <w:t xml:space="preserve"> 2010 QCCA 1864, </w:t>
            </w:r>
            <w:r w:rsidRPr="001E26DB">
              <w:t xml:space="preserve"> daté du </w:t>
            </w:r>
            <w:r>
              <w:t>8 octobre 2010</w:t>
            </w:r>
            <w:r w:rsidRPr="001E26DB">
              <w:t xml:space="preserve">, est </w:t>
            </w:r>
            <w:r w:rsidR="00142202">
              <w:t>rejet</w:t>
            </w:r>
            <w:r w:rsidR="00142202">
              <w:rPr>
                <w:rFonts w:cs="Times New Roman"/>
              </w:rPr>
              <w:t>é</w:t>
            </w:r>
            <w:r w:rsidR="00142202">
              <w:t>e sans d</w:t>
            </w:r>
            <w:r w:rsidR="00142202">
              <w:rPr>
                <w:rFonts w:cs="Times New Roman"/>
              </w:rPr>
              <w:t>é</w:t>
            </w:r>
            <w:r w:rsidR="00142202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6B352D" w:rsidRPr="006B352D" w:rsidRDefault="006B352D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B352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B352D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500-09-018177-071</w:t>
            </w:r>
            <w:r w:rsidR="006B352D">
              <w:rPr>
                <w:lang w:val="en-CA"/>
              </w:rPr>
              <w:t xml:space="preserve"> and</w:t>
            </w:r>
            <w:r w:rsidRPr="00142202">
              <w:rPr>
                <w:lang w:val="en-CA"/>
              </w:rPr>
              <w:t xml:space="preserve"> 500-09-018178-079</w:t>
            </w:r>
            <w:r w:rsidRPr="001E26DB">
              <w:rPr>
                <w:lang w:val="en-CA"/>
              </w:rPr>
              <w:t xml:space="preserve">, </w:t>
            </w:r>
            <w:r w:rsidR="006B352D" w:rsidRPr="00142202">
              <w:rPr>
                <w:lang w:val="en-CA"/>
              </w:rPr>
              <w:t xml:space="preserve">2010 QCCA 1864, </w:t>
            </w:r>
            <w:r w:rsidRPr="001E26DB">
              <w:rPr>
                <w:lang w:val="en-CA"/>
              </w:rPr>
              <w:t xml:space="preserve">dated </w:t>
            </w:r>
            <w:r w:rsidRPr="00142202">
              <w:rPr>
                <w:lang w:val="en-CA"/>
              </w:rPr>
              <w:t>October 8, 2010</w:t>
            </w:r>
            <w:r w:rsidR="006B352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42202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094A" w:rsidRDefault="00655333" w:rsidP="00655333">
      <w:pPr>
        <w:jc w:val="center"/>
      </w:pPr>
      <w:r w:rsidRPr="00F4094A">
        <w:lastRenderedPageBreak/>
        <w:t>J.C.C.</w:t>
      </w:r>
    </w:p>
    <w:p w:rsidR="00655333" w:rsidRPr="00F4094A" w:rsidRDefault="00655333" w:rsidP="00655333">
      <w:pPr>
        <w:jc w:val="center"/>
      </w:pPr>
      <w:r w:rsidRPr="00F4094A">
        <w:t>C.J.C.</w:t>
      </w:r>
      <w:r w:rsidR="006B352D" w:rsidRPr="00F4094A">
        <w:t xml:space="preserve"> </w:t>
      </w:r>
    </w:p>
    <w:sectPr w:rsidR="00655333" w:rsidRPr="00F4094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6C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6C4F" w:rsidRPr="00417FB7">
      <w:rPr>
        <w:szCs w:val="24"/>
      </w:rPr>
      <w:fldChar w:fldCharType="separate"/>
    </w:r>
    <w:r w:rsidR="00461EF3">
      <w:rPr>
        <w:noProof/>
        <w:szCs w:val="24"/>
      </w:rPr>
      <w:t>2</w:t>
    </w:r>
    <w:r w:rsidR="009E6C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33973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42202"/>
    <w:rsid w:val="00195E00"/>
    <w:rsid w:val="001A1CE1"/>
    <w:rsid w:val="001D0116"/>
    <w:rsid w:val="001D4323"/>
    <w:rsid w:val="001E26DB"/>
    <w:rsid w:val="002030E6"/>
    <w:rsid w:val="00203642"/>
    <w:rsid w:val="00215653"/>
    <w:rsid w:val="002314E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1EF3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352D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6C4F"/>
    <w:rsid w:val="009E7A46"/>
    <w:rsid w:val="009F436C"/>
    <w:rsid w:val="00A03153"/>
    <w:rsid w:val="00A103E3"/>
    <w:rsid w:val="00A14904"/>
    <w:rsid w:val="00A47A7B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38BA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4FB7-C2CC-46CC-97F5-59EA4591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2011-04-20T14:16:00Z</dcterms:created>
  <dcterms:modified xsi:type="dcterms:W3CDTF">2011-05-16T18:32:00Z</dcterms:modified>
</cp:coreProperties>
</file>