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34835</w:t>
      </w:r>
      <w:r w:rsidR="0016666F" w:rsidRPr="006E7BAE">
        <w:t>     </w:t>
      </w:r>
    </w:p>
    <w:p w:rsidR="002568D3" w:rsidRPr="006E7BAE" w:rsidRDefault="002568D3" w:rsidP="00382FEC"/>
    <w:tbl>
      <w:tblPr>
        <w:tblW w:w="5128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440"/>
        <w:gridCol w:w="361"/>
        <w:gridCol w:w="4858"/>
      </w:tblGrid>
      <w:tr w:rsidR="00417FB7" w:rsidRPr="006E7BAE" w:rsidTr="00D614AC">
        <w:tc>
          <w:tcPr>
            <w:tcW w:w="2298" w:type="pct"/>
          </w:tcPr>
          <w:p w:rsidR="00417FB7" w:rsidRPr="006E7BAE" w:rsidRDefault="00D614AC" w:rsidP="00D614AC">
            <w:r>
              <w:t>November 1, 2012</w:t>
            </w:r>
          </w:p>
        </w:tc>
        <w:tc>
          <w:tcPr>
            <w:tcW w:w="187" w:type="pct"/>
          </w:tcPr>
          <w:p w:rsidR="00417FB7" w:rsidRPr="006E7BAE" w:rsidRDefault="00417FB7" w:rsidP="00382FEC"/>
        </w:tc>
        <w:tc>
          <w:tcPr>
            <w:tcW w:w="2515" w:type="pct"/>
          </w:tcPr>
          <w:p w:rsidR="00417FB7" w:rsidRPr="00D83B8C" w:rsidRDefault="00EE2A6C" w:rsidP="00D614AC">
            <w:pPr>
              <w:rPr>
                <w:lang w:val="en-US"/>
              </w:rPr>
            </w:pPr>
            <w:r>
              <w:t>Le 1</w:t>
            </w:r>
            <w:r w:rsidR="00A326DD">
              <w:rPr>
                <w:vertAlign w:val="superscript"/>
              </w:rPr>
              <w:t>er</w:t>
            </w:r>
            <w:r w:rsidR="00D614AC">
              <w:t xml:space="preserve"> </w:t>
            </w:r>
            <w:proofErr w:type="spellStart"/>
            <w:r w:rsidR="00D614AC">
              <w:t>novembre</w:t>
            </w:r>
            <w:proofErr w:type="spellEnd"/>
            <w:r>
              <w:t xml:space="preserve"> 2012</w:t>
            </w:r>
          </w:p>
        </w:tc>
      </w:tr>
      <w:tr w:rsidR="00E12A51" w:rsidRPr="006E7BAE" w:rsidTr="00D614AC">
        <w:tc>
          <w:tcPr>
            <w:tcW w:w="2298" w:type="pct"/>
          </w:tcPr>
          <w:p w:rsidR="00C2612E" w:rsidRPr="006E7BAE" w:rsidRDefault="00C2612E" w:rsidP="008262A3"/>
        </w:tc>
        <w:tc>
          <w:tcPr>
            <w:tcW w:w="187" w:type="pct"/>
          </w:tcPr>
          <w:p w:rsidR="00E12A51" w:rsidRPr="006E7BAE" w:rsidRDefault="00E12A51" w:rsidP="00382FEC"/>
        </w:tc>
        <w:tc>
          <w:tcPr>
            <w:tcW w:w="2515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C5918" w:rsidTr="00D614AC">
        <w:tc>
          <w:tcPr>
            <w:tcW w:w="2298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Karakatsanis JJ.</w:t>
            </w:r>
          </w:p>
        </w:tc>
        <w:tc>
          <w:tcPr>
            <w:tcW w:w="187" w:type="pct"/>
          </w:tcPr>
          <w:p w:rsidR="00417FB7" w:rsidRPr="006E7BAE" w:rsidRDefault="00417FB7" w:rsidP="00382FEC"/>
        </w:tc>
        <w:tc>
          <w:tcPr>
            <w:tcW w:w="2515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614AC">
              <w:rPr>
                <w:lang w:val="fr-CA"/>
              </w:rPr>
              <w:t xml:space="preserve">Les juges Fish, </w:t>
            </w:r>
            <w:proofErr w:type="spellStart"/>
            <w:r w:rsidRPr="00D614AC">
              <w:rPr>
                <w:lang w:val="fr-CA"/>
              </w:rPr>
              <w:t>Rothstein</w:t>
            </w:r>
            <w:proofErr w:type="spellEnd"/>
            <w:r w:rsidRPr="00D614AC">
              <w:rPr>
                <w:lang w:val="fr-CA"/>
              </w:rPr>
              <w:t xml:space="preserve"> et </w:t>
            </w:r>
            <w:proofErr w:type="spellStart"/>
            <w:r w:rsidRPr="00D614AC">
              <w:rPr>
                <w:lang w:val="fr-CA"/>
              </w:rPr>
              <w:t>Karakatsanis</w:t>
            </w:r>
            <w:proofErr w:type="spellEnd"/>
          </w:p>
        </w:tc>
      </w:tr>
      <w:tr w:rsidR="00C2612E" w:rsidRPr="004C5918" w:rsidTr="00D614AC">
        <w:tc>
          <w:tcPr>
            <w:tcW w:w="2298" w:type="pct"/>
          </w:tcPr>
          <w:p w:rsidR="00C2612E" w:rsidRPr="00D614AC" w:rsidRDefault="00C2612E" w:rsidP="008262A3">
            <w:pPr>
              <w:rPr>
                <w:lang w:val="fr-CA"/>
              </w:rPr>
            </w:pPr>
          </w:p>
          <w:p w:rsidR="00C2612E" w:rsidRPr="00D614AC" w:rsidRDefault="00C2612E" w:rsidP="008262A3">
            <w:pPr>
              <w:rPr>
                <w:lang w:val="fr-CA"/>
              </w:rPr>
            </w:pPr>
          </w:p>
        </w:tc>
        <w:tc>
          <w:tcPr>
            <w:tcW w:w="187" w:type="pct"/>
          </w:tcPr>
          <w:p w:rsidR="00C2612E" w:rsidRPr="00D614AC" w:rsidRDefault="00C2612E" w:rsidP="00382FEC">
            <w:pPr>
              <w:rPr>
                <w:lang w:val="fr-CA"/>
              </w:rPr>
            </w:pPr>
          </w:p>
        </w:tc>
        <w:tc>
          <w:tcPr>
            <w:tcW w:w="2515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D614AC">
        <w:tc>
          <w:tcPr>
            <w:tcW w:w="2298" w:type="pct"/>
            <w:vAlign w:val="center"/>
          </w:tcPr>
          <w:p w:rsidR="00E73716" w:rsidRDefault="00D614AC">
            <w:pPr>
              <w:pStyle w:val="SCCLsocPrefix"/>
            </w:pPr>
            <w:r>
              <w:t>BETWEEN:</w:t>
            </w:r>
            <w:r>
              <w:br/>
            </w:r>
          </w:p>
          <w:p w:rsidR="00E73716" w:rsidRDefault="00D614AC">
            <w:pPr>
              <w:pStyle w:val="SCCLsocParty"/>
            </w:pPr>
            <w:r>
              <w:t>Reggie Lee Harris</w:t>
            </w:r>
            <w:r>
              <w:br/>
            </w:r>
          </w:p>
          <w:p w:rsidR="00E73716" w:rsidRDefault="00D614AC">
            <w:pPr>
              <w:pStyle w:val="SCCLsocPartyRole"/>
            </w:pPr>
            <w:r>
              <w:t>Applicant</w:t>
            </w:r>
            <w:r>
              <w:br/>
            </w:r>
          </w:p>
          <w:p w:rsidR="00E73716" w:rsidRDefault="00D614AC">
            <w:pPr>
              <w:pStyle w:val="SCCLsocVersus"/>
            </w:pPr>
            <w:r>
              <w:t>- and -</w:t>
            </w:r>
            <w:r>
              <w:br/>
            </w:r>
          </w:p>
          <w:p w:rsidR="00E73716" w:rsidRDefault="00D614AC">
            <w:pPr>
              <w:pStyle w:val="SCCLsocParty"/>
            </w:pPr>
            <w:r>
              <w:t>Her Majesty the Queen</w:t>
            </w:r>
            <w:r>
              <w:br/>
            </w:r>
          </w:p>
          <w:p w:rsidR="00E73716" w:rsidRDefault="00D614AC">
            <w:pPr>
              <w:pStyle w:val="SCCLsocPartyRole"/>
            </w:pPr>
            <w:r>
              <w:t>Respondent</w:t>
            </w:r>
          </w:p>
        </w:tc>
        <w:tc>
          <w:tcPr>
            <w:tcW w:w="187" w:type="pct"/>
            <w:vAlign w:val="center"/>
          </w:tcPr>
          <w:p w:rsidR="00824412" w:rsidRPr="006E7BAE" w:rsidRDefault="00824412" w:rsidP="00375294"/>
        </w:tc>
        <w:tc>
          <w:tcPr>
            <w:tcW w:w="2515" w:type="pct"/>
            <w:vAlign w:val="center"/>
          </w:tcPr>
          <w:p w:rsidR="00E73716" w:rsidRPr="00D614AC" w:rsidRDefault="00D614AC">
            <w:pPr>
              <w:pStyle w:val="SCCLsocPrefix"/>
              <w:rPr>
                <w:lang w:val="fr-CA"/>
              </w:rPr>
            </w:pPr>
            <w:r w:rsidRPr="00D614AC">
              <w:rPr>
                <w:lang w:val="fr-CA"/>
              </w:rPr>
              <w:t>ENTRE :</w:t>
            </w:r>
            <w:r w:rsidRPr="00D614AC">
              <w:rPr>
                <w:lang w:val="fr-CA"/>
              </w:rPr>
              <w:br/>
            </w:r>
          </w:p>
          <w:p w:rsidR="00E73716" w:rsidRPr="00D614AC" w:rsidRDefault="00D614AC">
            <w:pPr>
              <w:pStyle w:val="SCCLsocParty"/>
              <w:rPr>
                <w:lang w:val="fr-CA"/>
              </w:rPr>
            </w:pPr>
            <w:proofErr w:type="spellStart"/>
            <w:r w:rsidRPr="00D614AC">
              <w:rPr>
                <w:lang w:val="fr-CA"/>
              </w:rPr>
              <w:t>Reggie</w:t>
            </w:r>
            <w:proofErr w:type="spellEnd"/>
            <w:r w:rsidRPr="00D614AC">
              <w:rPr>
                <w:lang w:val="fr-CA"/>
              </w:rPr>
              <w:t xml:space="preserve"> Lee Harris</w:t>
            </w:r>
            <w:r w:rsidRPr="00D614AC">
              <w:rPr>
                <w:lang w:val="fr-CA"/>
              </w:rPr>
              <w:br/>
            </w:r>
          </w:p>
          <w:p w:rsidR="00E73716" w:rsidRPr="00D614AC" w:rsidRDefault="00D614AC">
            <w:pPr>
              <w:pStyle w:val="SCCLsocPartyRole"/>
              <w:rPr>
                <w:lang w:val="fr-CA"/>
              </w:rPr>
            </w:pPr>
            <w:r w:rsidRPr="00D614AC">
              <w:rPr>
                <w:lang w:val="fr-CA"/>
              </w:rPr>
              <w:t>Demandeur</w:t>
            </w:r>
            <w:r w:rsidRPr="00D614AC">
              <w:rPr>
                <w:lang w:val="fr-CA"/>
              </w:rPr>
              <w:br/>
            </w:r>
          </w:p>
          <w:p w:rsidR="00E73716" w:rsidRPr="00D614AC" w:rsidRDefault="00D614AC">
            <w:pPr>
              <w:pStyle w:val="SCCLsocVersus"/>
              <w:rPr>
                <w:lang w:val="fr-CA"/>
              </w:rPr>
            </w:pPr>
            <w:r w:rsidRPr="00D614AC">
              <w:rPr>
                <w:lang w:val="fr-CA"/>
              </w:rPr>
              <w:t>- et -</w:t>
            </w:r>
            <w:r w:rsidRPr="00D614AC">
              <w:rPr>
                <w:lang w:val="fr-CA"/>
              </w:rPr>
              <w:br/>
            </w:r>
          </w:p>
          <w:p w:rsidR="00E73716" w:rsidRPr="00D614AC" w:rsidRDefault="00D614AC">
            <w:pPr>
              <w:pStyle w:val="SCCLsocParty"/>
              <w:rPr>
                <w:lang w:val="fr-CA"/>
              </w:rPr>
            </w:pPr>
            <w:r w:rsidRPr="00D614AC">
              <w:rPr>
                <w:lang w:val="fr-CA"/>
              </w:rPr>
              <w:t>Sa Majesté la Reine</w:t>
            </w:r>
            <w:r w:rsidRPr="00D614AC">
              <w:rPr>
                <w:lang w:val="fr-CA"/>
              </w:rPr>
              <w:br/>
            </w:r>
          </w:p>
          <w:p w:rsidR="00E73716" w:rsidRDefault="00D614AC" w:rsidP="00D614AC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D614AC">
        <w:tc>
          <w:tcPr>
            <w:tcW w:w="2298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187" w:type="pct"/>
            <w:vAlign w:val="center"/>
          </w:tcPr>
          <w:p w:rsidR="00824412" w:rsidRPr="006E7BAE" w:rsidRDefault="00824412" w:rsidP="00375294"/>
        </w:tc>
        <w:tc>
          <w:tcPr>
            <w:tcW w:w="2515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C5918" w:rsidTr="00D614AC">
        <w:tc>
          <w:tcPr>
            <w:tcW w:w="2298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D614AC" w:rsidP="00D614AC">
            <w:pPr>
              <w:jc w:val="both"/>
            </w:pPr>
            <w:r>
              <w:t>The motion to appoint counsel and t</w:t>
            </w:r>
            <w:r w:rsidR="00824412" w:rsidRPr="006E7BAE">
              <w:t>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Saskatchewan</w:t>
            </w:r>
            <w:r w:rsidR="00824412" w:rsidRPr="006E7BAE">
              <w:t xml:space="preserve">, Number </w:t>
            </w:r>
            <w:r w:rsidR="00824412">
              <w:t>CACR2054, 2012 SKCA 43</w:t>
            </w:r>
            <w:r w:rsidR="00824412" w:rsidRPr="006E7BAE">
              <w:t xml:space="preserve">, dated </w:t>
            </w:r>
            <w:r w:rsidR="00824412">
              <w:t>March 29, 2012</w:t>
            </w:r>
            <w:r>
              <w:t>, are dismissed</w:t>
            </w:r>
            <w:r w:rsidR="00A326DD">
              <w:t xml:space="preserve"> without costs</w:t>
            </w:r>
            <w:r>
              <w:t>.</w:t>
            </w:r>
          </w:p>
        </w:tc>
        <w:tc>
          <w:tcPr>
            <w:tcW w:w="187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515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614A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D614AC">
              <w:rPr>
                <w:lang w:val="fr-CA"/>
              </w:rPr>
              <w:t xml:space="preserve">requête pour </w:t>
            </w:r>
            <w:r w:rsidR="00D614AC" w:rsidRPr="00D614AC">
              <w:rPr>
                <w:lang w:val="fr-CA"/>
              </w:rPr>
              <w:t xml:space="preserve">nomination d’un avocat </w:t>
            </w:r>
            <w:r w:rsidR="00D614AC">
              <w:rPr>
                <w:lang w:val="fr-CA"/>
              </w:rPr>
              <w:t xml:space="preserve">et la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614AC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Pr="00D614AC">
              <w:rPr>
                <w:lang w:val="fr-CA"/>
              </w:rPr>
              <w:t>CACR2054, 2012 SKCA 43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614AC">
              <w:rPr>
                <w:lang w:val="fr-CA"/>
              </w:rPr>
              <w:t>29 mars 2012</w:t>
            </w:r>
            <w:r w:rsidRPr="006E7BAE">
              <w:rPr>
                <w:lang w:val="fr-CA"/>
              </w:rPr>
              <w:t xml:space="preserve">, </w:t>
            </w:r>
            <w:r w:rsidR="00D614AC">
              <w:rPr>
                <w:lang w:val="fr-CA"/>
              </w:rPr>
              <w:t>sont rejetées</w:t>
            </w:r>
            <w:r w:rsidR="00A326DD">
              <w:rPr>
                <w:lang w:val="fr-CA"/>
              </w:rPr>
              <w:t xml:space="preserve">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D614AC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  <w:r w:rsidR="00D614AC">
        <w:rPr>
          <w:lang w:val="fr-CA"/>
        </w:rPr>
        <w:t xml:space="preserve"> </w:t>
      </w:r>
    </w:p>
    <w:p w:rsidR="003A37CF" w:rsidRPr="00D83B8C" w:rsidRDefault="003A37CF" w:rsidP="00D614AC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D614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45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735" w:rsidRDefault="00325735">
      <w:r>
        <w:separator/>
      </w:r>
    </w:p>
  </w:endnote>
  <w:endnote w:type="continuationSeparator" w:id="0">
    <w:p w:rsidR="00325735" w:rsidRDefault="0032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735" w:rsidRDefault="00325735">
      <w:r>
        <w:separator/>
      </w:r>
    </w:p>
  </w:footnote>
  <w:footnote w:type="continuationSeparator" w:id="0">
    <w:p w:rsidR="00325735" w:rsidRDefault="00325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0775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07756" w:rsidRPr="00417FB7">
      <w:rPr>
        <w:szCs w:val="24"/>
      </w:rPr>
      <w:fldChar w:fldCharType="separate"/>
    </w:r>
    <w:r w:rsidR="00D614AC">
      <w:rPr>
        <w:noProof/>
        <w:szCs w:val="24"/>
      </w:rPr>
      <w:t>2</w:t>
    </w:r>
    <w:r w:rsidR="00B0775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34835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25735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C5918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326DD"/>
    <w:rsid w:val="00AB5E22"/>
    <w:rsid w:val="00AE2077"/>
    <w:rsid w:val="00B07756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4AC"/>
    <w:rsid w:val="00D61AC2"/>
    <w:rsid w:val="00D83B8C"/>
    <w:rsid w:val="00E12A51"/>
    <w:rsid w:val="00E73716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211F6-787D-4ED9-A531-FB8A3FD22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cp:lastPrinted>2012-10-10T16:01:00Z</cp:lastPrinted>
  <dcterms:created xsi:type="dcterms:W3CDTF">2012-10-10T16:02:00Z</dcterms:created>
  <dcterms:modified xsi:type="dcterms:W3CDTF">2012-11-05T16:47:00Z</dcterms:modified>
</cp:coreProperties>
</file>