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34072</w:t>
      </w:r>
      <w:r w:rsidR="0016666F" w:rsidRPr="006E7BAE">
        <w:t>     </w:t>
      </w:r>
    </w:p>
    <w:p w:rsidR="009F436C" w:rsidRPr="006E7BAE" w:rsidRDefault="009F436C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642AF5">
        <w:tc>
          <w:tcPr>
            <w:tcW w:w="2212" w:type="pct"/>
          </w:tcPr>
          <w:p w:rsidR="00417FB7" w:rsidRPr="006E7BAE" w:rsidRDefault="00EE2A6C" w:rsidP="00642AF5">
            <w:r>
              <w:t xml:space="preserve">November </w:t>
            </w:r>
            <w:r w:rsidR="00642AF5">
              <w:t>22</w:t>
            </w:r>
            <w:r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642AF5">
            <w:pPr>
              <w:rPr>
                <w:lang w:val="en-US"/>
              </w:rPr>
            </w:pPr>
            <w:r>
              <w:t xml:space="preserve">Le </w:t>
            </w:r>
            <w:r w:rsidR="00642AF5">
              <w:t>22</w:t>
            </w:r>
            <w:r>
              <w:t xml:space="preserve"> novembre 2012</w:t>
            </w:r>
          </w:p>
        </w:tc>
      </w:tr>
      <w:tr w:rsidR="00E12A51" w:rsidRPr="006E7BAE" w:rsidTr="00642AF5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35DE" w:rsidTr="00642AF5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 w:rsidR="00642AF5" w:rsidRPr="00642AF5">
              <w:t>Fish, Rothstein and Cromwell 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642AF5" w:rsidRPr="00642AF5">
              <w:rPr>
                <w:lang w:val="fr-CA"/>
              </w:rPr>
              <w:t>Les juges Fish, Rothstein et Cromwell</w:t>
            </w:r>
          </w:p>
        </w:tc>
      </w:tr>
      <w:tr w:rsidR="00C2612E" w:rsidRPr="009935DE" w:rsidTr="00642AF5">
        <w:tc>
          <w:tcPr>
            <w:tcW w:w="2212" w:type="pct"/>
          </w:tcPr>
          <w:p w:rsidR="00C2612E" w:rsidRPr="00642AF5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642AF5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935DE" w:rsidTr="00642AF5">
        <w:tc>
          <w:tcPr>
            <w:tcW w:w="2212" w:type="pct"/>
            <w:vAlign w:val="center"/>
          </w:tcPr>
          <w:p w:rsidR="00CB1932" w:rsidRDefault="00642AF5">
            <w:pPr>
              <w:pStyle w:val="SCCLsocPrefix"/>
            </w:pPr>
            <w:r>
              <w:t>BETWEEN:</w:t>
            </w:r>
            <w:r>
              <w:br/>
            </w:r>
          </w:p>
          <w:p w:rsidR="00CB1932" w:rsidRDefault="00642AF5">
            <w:pPr>
              <w:pStyle w:val="SCCLsocParty"/>
            </w:pPr>
            <w:r>
              <w:t>Carol Truong</w:t>
            </w:r>
            <w:r>
              <w:br/>
            </w:r>
          </w:p>
          <w:p w:rsidR="00CB1932" w:rsidRDefault="00642AF5">
            <w:pPr>
              <w:pStyle w:val="SCCLsocPartyRole"/>
            </w:pPr>
            <w:r>
              <w:t>Applicant</w:t>
            </w:r>
            <w:r>
              <w:br/>
            </w:r>
          </w:p>
          <w:p w:rsidR="00CB1932" w:rsidRDefault="00642AF5">
            <w:pPr>
              <w:pStyle w:val="SCCLsocVersus"/>
            </w:pPr>
            <w:r>
              <w:t>- and -</w:t>
            </w:r>
            <w:r>
              <w:br/>
            </w:r>
          </w:p>
          <w:p w:rsidR="00CB1932" w:rsidRDefault="00642AF5">
            <w:pPr>
              <w:pStyle w:val="SCCLsocParty"/>
            </w:pPr>
            <w:r>
              <w:t>Her Majesty the Queen</w:t>
            </w:r>
            <w:r>
              <w:br/>
            </w:r>
          </w:p>
          <w:p w:rsidR="00CB1932" w:rsidRDefault="00642AF5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CB1932" w:rsidRPr="00642AF5" w:rsidRDefault="00642AF5">
            <w:pPr>
              <w:pStyle w:val="SCCLsocPrefix"/>
              <w:rPr>
                <w:lang w:val="fr-CA"/>
              </w:rPr>
            </w:pPr>
            <w:r w:rsidRPr="00642AF5">
              <w:rPr>
                <w:lang w:val="fr-CA"/>
              </w:rPr>
              <w:t>ENTRE :</w:t>
            </w:r>
            <w:r w:rsidRPr="00642AF5">
              <w:rPr>
                <w:lang w:val="fr-CA"/>
              </w:rPr>
              <w:br/>
            </w:r>
          </w:p>
          <w:p w:rsidR="00CB1932" w:rsidRPr="00642AF5" w:rsidRDefault="00642AF5">
            <w:pPr>
              <w:pStyle w:val="SCCLsocParty"/>
              <w:rPr>
                <w:lang w:val="fr-CA"/>
              </w:rPr>
            </w:pPr>
            <w:r w:rsidRPr="00642AF5">
              <w:rPr>
                <w:lang w:val="fr-CA"/>
              </w:rPr>
              <w:t>Carol Truong</w:t>
            </w:r>
            <w:r w:rsidRPr="00642AF5">
              <w:rPr>
                <w:lang w:val="fr-CA"/>
              </w:rPr>
              <w:br/>
            </w:r>
          </w:p>
          <w:p w:rsidR="00CB1932" w:rsidRPr="00642AF5" w:rsidRDefault="00642AF5">
            <w:pPr>
              <w:pStyle w:val="SCCLsocPartyRole"/>
              <w:rPr>
                <w:lang w:val="fr-CA"/>
              </w:rPr>
            </w:pPr>
            <w:r w:rsidRPr="00642AF5">
              <w:rPr>
                <w:lang w:val="fr-CA"/>
              </w:rPr>
              <w:t>Demanderesse</w:t>
            </w:r>
            <w:r w:rsidRPr="00642AF5">
              <w:rPr>
                <w:lang w:val="fr-CA"/>
              </w:rPr>
              <w:br/>
            </w:r>
          </w:p>
          <w:p w:rsidR="00CB1932" w:rsidRPr="00642AF5" w:rsidRDefault="00642AF5">
            <w:pPr>
              <w:pStyle w:val="SCCLsocVersus"/>
              <w:rPr>
                <w:lang w:val="fr-CA"/>
              </w:rPr>
            </w:pPr>
            <w:r w:rsidRPr="00642AF5">
              <w:rPr>
                <w:lang w:val="fr-CA"/>
              </w:rPr>
              <w:t>- et -</w:t>
            </w:r>
            <w:r w:rsidRPr="00642AF5">
              <w:rPr>
                <w:lang w:val="fr-CA"/>
              </w:rPr>
              <w:br/>
            </w:r>
          </w:p>
          <w:p w:rsidR="00CB1932" w:rsidRPr="00642AF5" w:rsidRDefault="00642AF5">
            <w:pPr>
              <w:pStyle w:val="SCCLsocParty"/>
              <w:rPr>
                <w:lang w:val="fr-CA"/>
              </w:rPr>
            </w:pPr>
            <w:r w:rsidRPr="00642AF5">
              <w:rPr>
                <w:lang w:val="fr-CA"/>
              </w:rPr>
              <w:t>Sa Majesté la Reine</w:t>
            </w:r>
            <w:r w:rsidRPr="00642AF5">
              <w:rPr>
                <w:lang w:val="fr-CA"/>
              </w:rPr>
              <w:br/>
            </w:r>
          </w:p>
          <w:p w:rsidR="00CB1932" w:rsidRPr="00AA6080" w:rsidRDefault="00642AF5" w:rsidP="00642AF5">
            <w:pPr>
              <w:pStyle w:val="SCCLsocPartyRole"/>
              <w:rPr>
                <w:lang w:val="fr-CA"/>
              </w:rPr>
            </w:pPr>
            <w:r w:rsidRPr="00AA6080">
              <w:rPr>
                <w:lang w:val="fr-CA"/>
              </w:rPr>
              <w:t>Intimée</w:t>
            </w:r>
          </w:p>
        </w:tc>
      </w:tr>
      <w:tr w:rsidR="00824412" w:rsidRPr="009935DE" w:rsidTr="00642AF5">
        <w:tc>
          <w:tcPr>
            <w:tcW w:w="2212" w:type="pct"/>
            <w:vAlign w:val="center"/>
          </w:tcPr>
          <w:p w:rsidR="00824412" w:rsidRPr="00AA6080" w:rsidRDefault="00824412" w:rsidP="00375294">
            <w:pPr>
              <w:rPr>
                <w:lang w:val="fr-CA"/>
              </w:rPr>
            </w:pPr>
          </w:p>
          <w:p w:rsidR="00824412" w:rsidRPr="00AA6080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AA6080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AA6080" w:rsidRDefault="00824412" w:rsidP="00B408F8">
            <w:pPr>
              <w:rPr>
                <w:lang w:val="fr-CA"/>
              </w:rPr>
            </w:pPr>
          </w:p>
        </w:tc>
      </w:tr>
      <w:tr w:rsidR="00824412" w:rsidRPr="009935DE" w:rsidTr="00642AF5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42AF5" w:rsidRDefault="00AA6080" w:rsidP="009E1EAC">
            <w:pPr>
              <w:jc w:val="both"/>
              <w:rPr>
                <w:lang w:val="en-US"/>
              </w:rPr>
            </w:pPr>
            <w:r>
              <w:t xml:space="preserve">Pursuant to subsection 43 (1.1) of </w:t>
            </w:r>
            <w:r w:rsidRPr="00373857">
              <w:rPr>
                <w:i/>
              </w:rPr>
              <w:t>The Supreme Court Act</w:t>
            </w:r>
            <w:r>
              <w:t>, the case forming the basis of the application for leave to appeal</w:t>
            </w:r>
            <w:r w:rsidRPr="006E7BAE">
              <w:t xml:space="preserve">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(Victoria)</w:t>
            </w:r>
            <w:r w:rsidR="00824412" w:rsidRPr="006E7BAE">
              <w:t xml:space="preserve">, Number </w:t>
            </w:r>
            <w:r w:rsidR="00824412">
              <w:t>CA036811, 2010 BCCA 536</w:t>
            </w:r>
            <w:r w:rsidR="00824412" w:rsidRPr="006E7BAE">
              <w:t xml:space="preserve">, dated </w:t>
            </w:r>
            <w:r w:rsidR="00824412">
              <w:t>November 30, 2010</w:t>
            </w:r>
            <w:r w:rsidR="00642AF5">
              <w:t>,</w:t>
            </w:r>
            <w:r w:rsidR="00824412" w:rsidRPr="006E7BAE">
              <w:t xml:space="preserve"> </w:t>
            </w:r>
            <w:r w:rsidRPr="00BB1DFC">
              <w:t xml:space="preserve">is remanded to the Court of Appeal of </w:t>
            </w:r>
            <w:r w:rsidR="009E1EAC">
              <w:t>British Columbia</w:t>
            </w:r>
            <w:r>
              <w:t xml:space="preserve"> for disposition in accordance with </w:t>
            </w:r>
            <w:r w:rsidRPr="00373857">
              <w:rPr>
                <w:i/>
              </w:rPr>
              <w:t>R. v. Dineley</w:t>
            </w:r>
            <w:r>
              <w:t>, 2012 SCC 58</w:t>
            </w:r>
            <w:r w:rsidRPr="00BB1DFC">
              <w:t>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A6080" w:rsidP="009935D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Conformément au paragraphe 43 (1.1) de la </w:t>
            </w:r>
            <w:r w:rsidRPr="005E3934">
              <w:rPr>
                <w:i/>
                <w:lang w:val="fr-CA"/>
              </w:rPr>
              <w:t>Loi sur la Cour suprême</w:t>
            </w:r>
            <w:r>
              <w:rPr>
                <w:lang w:val="fr-CA"/>
              </w:rPr>
              <w:t xml:space="preserve">, l’affaire à l’origine de la </w:t>
            </w:r>
            <w:r w:rsidRPr="006E7BAE">
              <w:rPr>
                <w:lang w:val="fr-CA"/>
              </w:rPr>
              <w:t xml:space="preserve">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2AF5">
              <w:rPr>
                <w:lang w:val="fr-CA"/>
              </w:rPr>
              <w:t>Cour d’appel de la Colombie-Britannique (Victoria)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42AF5">
              <w:rPr>
                <w:lang w:val="fr-CA"/>
              </w:rPr>
              <w:t>CA036811, 2010 BCCA 536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2AF5">
              <w:rPr>
                <w:lang w:val="fr-CA"/>
              </w:rPr>
              <w:t>30 novembre 2010</w:t>
            </w:r>
            <w:r w:rsidR="00824412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renvoyée à la Cour d’appel d</w:t>
            </w:r>
            <w:r w:rsidR="009E1EAC">
              <w:rPr>
                <w:lang w:val="fr-CA"/>
              </w:rPr>
              <w:t>e la Colombie-Britannique</w:t>
            </w:r>
            <w:r>
              <w:rPr>
                <w:lang w:val="fr-CA"/>
              </w:rPr>
              <w:t xml:space="preserve"> pour qu’elle statue en conformité </w:t>
            </w:r>
            <w:r w:rsidR="009935DE">
              <w:rPr>
                <w:lang w:val="fr-CA"/>
              </w:rPr>
              <w:t>avec</w:t>
            </w:r>
            <w:r>
              <w:rPr>
                <w:lang w:val="fr-CA"/>
              </w:rPr>
              <w:t xml:space="preserve"> l’arrêt </w:t>
            </w:r>
            <w:r w:rsidRPr="00373857">
              <w:rPr>
                <w:i/>
                <w:lang w:val="fr-CA"/>
              </w:rPr>
              <w:t>R. c. Dineley</w:t>
            </w:r>
            <w:r>
              <w:rPr>
                <w:lang w:val="fr-CA"/>
              </w:rPr>
              <w:t>, 2012 SCC 58</w:t>
            </w:r>
            <w:r w:rsidRPr="006E7BAE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42AF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42AF5" w:rsidRPr="00D83B8C">
        <w:rPr>
          <w:lang w:val="fr-CA"/>
        </w:rPr>
        <w:t xml:space="preserve"> </w:t>
      </w:r>
    </w:p>
    <w:sectPr w:rsidR="003A37CF" w:rsidRPr="00D83B8C" w:rsidSect="00642AF5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59" w:rsidRDefault="00B67759">
      <w:r>
        <w:separator/>
      </w:r>
    </w:p>
  </w:endnote>
  <w:endnote w:type="continuationSeparator" w:id="0">
    <w:p w:rsidR="00B67759" w:rsidRDefault="00B6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59" w:rsidRDefault="00B67759">
      <w:r>
        <w:separator/>
      </w:r>
    </w:p>
  </w:footnote>
  <w:footnote w:type="continuationSeparator" w:id="0">
    <w:p w:rsidR="00B67759" w:rsidRDefault="00B6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7A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7AAB" w:rsidRPr="00417FB7">
      <w:rPr>
        <w:szCs w:val="24"/>
      </w:rPr>
      <w:fldChar w:fldCharType="separate"/>
    </w:r>
    <w:r w:rsidR="00AA6080">
      <w:rPr>
        <w:noProof/>
        <w:szCs w:val="24"/>
      </w:rPr>
      <w:t>2</w:t>
    </w:r>
    <w:r w:rsidR="002E7A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5745D"/>
    <w:rsid w:val="0027284C"/>
    <w:rsid w:val="002B5FA6"/>
    <w:rsid w:val="002E0F03"/>
    <w:rsid w:val="002E7AAB"/>
    <w:rsid w:val="0031097F"/>
    <w:rsid w:val="0031165C"/>
    <w:rsid w:val="003514E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7977"/>
    <w:rsid w:val="00612913"/>
    <w:rsid w:val="00614908"/>
    <w:rsid w:val="00642AF5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35DE"/>
    <w:rsid w:val="009D45DF"/>
    <w:rsid w:val="009E0F71"/>
    <w:rsid w:val="009E1EAC"/>
    <w:rsid w:val="009E7A46"/>
    <w:rsid w:val="009F436C"/>
    <w:rsid w:val="00A03153"/>
    <w:rsid w:val="00A103E3"/>
    <w:rsid w:val="00A252FA"/>
    <w:rsid w:val="00AA6080"/>
    <w:rsid w:val="00AB5E22"/>
    <w:rsid w:val="00AE2077"/>
    <w:rsid w:val="00B158E3"/>
    <w:rsid w:val="00B408F8"/>
    <w:rsid w:val="00B5078E"/>
    <w:rsid w:val="00B60EDC"/>
    <w:rsid w:val="00B67759"/>
    <w:rsid w:val="00BD4E4C"/>
    <w:rsid w:val="00BF7644"/>
    <w:rsid w:val="00C1285B"/>
    <w:rsid w:val="00C2612E"/>
    <w:rsid w:val="00CB1932"/>
    <w:rsid w:val="00CE249F"/>
    <w:rsid w:val="00CF17D0"/>
    <w:rsid w:val="00D42339"/>
    <w:rsid w:val="00D61AC2"/>
    <w:rsid w:val="00D83B8C"/>
    <w:rsid w:val="00E12A51"/>
    <w:rsid w:val="00E15D7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D87E-8C4B-4247-95AE-81ED8B95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2012-11-14T14:59:00Z</cp:lastPrinted>
  <dcterms:created xsi:type="dcterms:W3CDTF">2012-11-20T15:44:00Z</dcterms:created>
  <dcterms:modified xsi:type="dcterms:W3CDTF">2012-11-26T15:36:00Z</dcterms:modified>
</cp:coreProperties>
</file>