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35019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529"/>
        <w:gridCol w:w="718"/>
        <w:gridCol w:w="4593"/>
      </w:tblGrid>
      <w:tr w:rsidR="00417FB7" w:rsidRPr="00F4094A" w:rsidTr="00C44716">
        <w:tc>
          <w:tcPr>
            <w:tcW w:w="2301" w:type="pct"/>
          </w:tcPr>
          <w:p w:rsidR="00417FB7" w:rsidRPr="001E26DB" w:rsidRDefault="005B69C9" w:rsidP="00C44716">
            <w:r>
              <w:t>Le 2</w:t>
            </w:r>
            <w:r w:rsidR="00C44716">
              <w:t>0 décembre</w:t>
            </w:r>
            <w:r>
              <w:t xml:space="preserve"> 2012</w:t>
            </w:r>
          </w:p>
        </w:tc>
        <w:tc>
          <w:tcPr>
            <w:tcW w:w="365" w:type="pct"/>
          </w:tcPr>
          <w:p w:rsidR="00417FB7" w:rsidRPr="001E26DB" w:rsidRDefault="00417FB7" w:rsidP="00382FEC"/>
        </w:tc>
        <w:tc>
          <w:tcPr>
            <w:tcW w:w="2334" w:type="pct"/>
          </w:tcPr>
          <w:p w:rsidR="00417FB7" w:rsidRPr="001E26DB" w:rsidRDefault="00C44716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20</w:t>
            </w:r>
            <w:r w:rsidR="005B69C9">
              <w:t>, 2012</w:t>
            </w:r>
          </w:p>
        </w:tc>
      </w:tr>
      <w:tr w:rsidR="00E12A51" w:rsidRPr="00F4094A" w:rsidTr="00C44716">
        <w:tc>
          <w:tcPr>
            <w:tcW w:w="2301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65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34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44716" w:rsidTr="00C44716">
        <w:tc>
          <w:tcPr>
            <w:tcW w:w="2301" w:type="pct"/>
          </w:tcPr>
          <w:p w:rsidR="00417FB7" w:rsidRPr="001E26DB" w:rsidRDefault="00417FB7" w:rsidP="00C4471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65" w:type="pct"/>
          </w:tcPr>
          <w:p w:rsidR="00417FB7" w:rsidRPr="001E26DB" w:rsidRDefault="00417FB7" w:rsidP="00382FEC"/>
        </w:tc>
        <w:tc>
          <w:tcPr>
            <w:tcW w:w="2334" w:type="pct"/>
          </w:tcPr>
          <w:p w:rsidR="00417FB7" w:rsidRPr="001E26DB" w:rsidRDefault="007F41D5" w:rsidP="00C4471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44716">
              <w:rPr>
                <w:lang w:val="en-US"/>
              </w:rPr>
              <w:t>LeBel, Karakatsanis and Wagner JJ.</w:t>
            </w:r>
          </w:p>
        </w:tc>
      </w:tr>
      <w:tr w:rsidR="00C2612E" w:rsidRPr="00C44716" w:rsidTr="00C44716">
        <w:tc>
          <w:tcPr>
            <w:tcW w:w="2301" w:type="pct"/>
          </w:tcPr>
          <w:p w:rsidR="00C2612E" w:rsidRPr="00C44716" w:rsidRDefault="00C2612E" w:rsidP="008262A3">
            <w:pPr>
              <w:rPr>
                <w:lang w:val="en-US"/>
              </w:rPr>
            </w:pPr>
          </w:p>
          <w:p w:rsidR="00C2612E" w:rsidRPr="00C44716" w:rsidRDefault="00C2612E" w:rsidP="008262A3">
            <w:pPr>
              <w:rPr>
                <w:lang w:val="en-US"/>
              </w:rPr>
            </w:pPr>
          </w:p>
        </w:tc>
        <w:tc>
          <w:tcPr>
            <w:tcW w:w="365" w:type="pct"/>
          </w:tcPr>
          <w:p w:rsidR="00C2612E" w:rsidRPr="00C44716" w:rsidRDefault="00C2612E" w:rsidP="00382FEC">
            <w:pPr>
              <w:rPr>
                <w:lang w:val="en-US"/>
              </w:rPr>
            </w:pPr>
          </w:p>
        </w:tc>
        <w:tc>
          <w:tcPr>
            <w:tcW w:w="2334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44716" w:rsidTr="00C44716">
        <w:tc>
          <w:tcPr>
            <w:tcW w:w="2301" w:type="pct"/>
            <w:vAlign w:val="center"/>
          </w:tcPr>
          <w:p w:rsidR="00C00578" w:rsidRDefault="00640918">
            <w:pPr>
              <w:pStyle w:val="SCCLsocPrefix"/>
            </w:pPr>
            <w:r>
              <w:t>ENTRE :</w:t>
            </w:r>
            <w:r>
              <w:br/>
            </w:r>
          </w:p>
          <w:p w:rsidR="00C00578" w:rsidRDefault="00640918">
            <w:pPr>
              <w:pStyle w:val="SCCLsocParty"/>
            </w:pPr>
            <w:r>
              <w:t>Gusman Alexandre</w:t>
            </w:r>
            <w:r>
              <w:br/>
            </w:r>
          </w:p>
          <w:p w:rsidR="00C00578" w:rsidRDefault="00640918">
            <w:pPr>
              <w:pStyle w:val="SCCLsocPartyRole"/>
            </w:pPr>
            <w:r>
              <w:t>Demandeur</w:t>
            </w:r>
            <w:r>
              <w:br/>
            </w:r>
          </w:p>
          <w:p w:rsidR="00C00578" w:rsidRDefault="00640918">
            <w:pPr>
              <w:pStyle w:val="SCCLsocVersus"/>
            </w:pPr>
            <w:r>
              <w:t>- et -</w:t>
            </w:r>
            <w:r>
              <w:br/>
            </w:r>
          </w:p>
          <w:p w:rsidR="00C00578" w:rsidRDefault="00640918">
            <w:pPr>
              <w:pStyle w:val="SCCLsocParty"/>
            </w:pPr>
            <w:r>
              <w:t>Sa Majesté la Reine</w:t>
            </w:r>
            <w:r>
              <w:br/>
            </w:r>
          </w:p>
          <w:p w:rsidR="00C00578" w:rsidRDefault="00640918" w:rsidP="00C44716">
            <w:pPr>
              <w:pStyle w:val="SCCLsocPartyRole"/>
            </w:pPr>
            <w:r>
              <w:t>Intimée</w:t>
            </w:r>
          </w:p>
        </w:tc>
        <w:tc>
          <w:tcPr>
            <w:tcW w:w="365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34" w:type="pct"/>
            <w:vAlign w:val="center"/>
          </w:tcPr>
          <w:p w:rsidR="00C00578" w:rsidRPr="00C44716" w:rsidRDefault="00640918">
            <w:pPr>
              <w:pStyle w:val="SCCLsocPrefix"/>
              <w:rPr>
                <w:lang w:val="en-US"/>
              </w:rPr>
            </w:pPr>
            <w:r w:rsidRPr="00C44716">
              <w:rPr>
                <w:lang w:val="en-US"/>
              </w:rPr>
              <w:t>BETWEEN:</w:t>
            </w:r>
            <w:r w:rsidRPr="00C44716">
              <w:rPr>
                <w:lang w:val="en-US"/>
              </w:rPr>
              <w:br/>
            </w:r>
          </w:p>
          <w:p w:rsidR="00C00578" w:rsidRPr="00C44716" w:rsidRDefault="00640918">
            <w:pPr>
              <w:pStyle w:val="SCCLsocParty"/>
              <w:rPr>
                <w:lang w:val="en-US"/>
              </w:rPr>
            </w:pPr>
            <w:proofErr w:type="spellStart"/>
            <w:r w:rsidRPr="00C44716">
              <w:rPr>
                <w:lang w:val="en-US"/>
              </w:rPr>
              <w:t>Gusman</w:t>
            </w:r>
            <w:proofErr w:type="spellEnd"/>
            <w:r w:rsidRPr="00C44716">
              <w:rPr>
                <w:lang w:val="en-US"/>
              </w:rPr>
              <w:t xml:space="preserve"> Alexandre</w:t>
            </w:r>
            <w:r w:rsidRPr="00C44716">
              <w:rPr>
                <w:lang w:val="en-US"/>
              </w:rPr>
              <w:br/>
            </w:r>
          </w:p>
          <w:p w:rsidR="00C00578" w:rsidRPr="00C44716" w:rsidRDefault="00640918">
            <w:pPr>
              <w:pStyle w:val="SCCLsocPartyRole"/>
              <w:rPr>
                <w:lang w:val="en-US"/>
              </w:rPr>
            </w:pPr>
            <w:r w:rsidRPr="00C44716">
              <w:rPr>
                <w:lang w:val="en-US"/>
              </w:rPr>
              <w:t>Applicant</w:t>
            </w:r>
            <w:r w:rsidRPr="00C44716">
              <w:rPr>
                <w:lang w:val="en-US"/>
              </w:rPr>
              <w:br/>
            </w:r>
          </w:p>
          <w:p w:rsidR="00C00578" w:rsidRPr="00C44716" w:rsidRDefault="00640918">
            <w:pPr>
              <w:pStyle w:val="SCCLsocVersus"/>
              <w:rPr>
                <w:lang w:val="en-US"/>
              </w:rPr>
            </w:pPr>
            <w:r w:rsidRPr="00C44716">
              <w:rPr>
                <w:lang w:val="en-US"/>
              </w:rPr>
              <w:t>- and -</w:t>
            </w:r>
            <w:r w:rsidRPr="00C44716">
              <w:rPr>
                <w:lang w:val="en-US"/>
              </w:rPr>
              <w:br/>
            </w:r>
          </w:p>
          <w:p w:rsidR="00C00578" w:rsidRPr="00C44716" w:rsidRDefault="00640918">
            <w:pPr>
              <w:pStyle w:val="SCCLsocParty"/>
              <w:rPr>
                <w:lang w:val="en-US"/>
              </w:rPr>
            </w:pPr>
            <w:r w:rsidRPr="00C44716">
              <w:rPr>
                <w:lang w:val="en-US"/>
              </w:rPr>
              <w:t>Her Majesty the Queen</w:t>
            </w:r>
            <w:r w:rsidRPr="00C44716">
              <w:rPr>
                <w:lang w:val="en-US"/>
              </w:rPr>
              <w:br/>
            </w:r>
          </w:p>
          <w:p w:rsidR="00C00578" w:rsidRPr="00C44716" w:rsidRDefault="00640918">
            <w:pPr>
              <w:pStyle w:val="SCCLsocPartyRole"/>
              <w:rPr>
                <w:lang w:val="en-US"/>
              </w:rPr>
            </w:pPr>
            <w:r w:rsidRPr="00C44716">
              <w:rPr>
                <w:lang w:val="en-US"/>
              </w:rPr>
              <w:t>Respondent</w:t>
            </w:r>
          </w:p>
        </w:tc>
      </w:tr>
      <w:tr w:rsidR="00824412" w:rsidRPr="00C44716" w:rsidTr="00C44716">
        <w:tc>
          <w:tcPr>
            <w:tcW w:w="230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34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44716" w:rsidTr="00C44716">
        <w:tc>
          <w:tcPr>
            <w:tcW w:w="2301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44716" w:rsidP="00C44716">
            <w:pPr>
              <w:jc w:val="both"/>
            </w:pPr>
            <w:r>
              <w:t xml:space="preserve">La requête en prorogation du délai de signification et de dépôt de la </w:t>
            </w:r>
            <w:r w:rsidR="0027081E" w:rsidRPr="001E26DB">
              <w:t xml:space="preserve">demande d’autorisation d’appel </w:t>
            </w:r>
            <w:r>
              <w:t xml:space="preserve">est accueillie. La demande d’autorisation d’appel </w:t>
            </w:r>
            <w:r w:rsidR="0027081E" w:rsidRPr="001E26DB">
              <w:t xml:space="preserve">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>
              <w:t>s 500-10-004512-099, 500-10-004677-108 et 500-10-004678-106</w:t>
            </w:r>
            <w:r w:rsidRPr="001E26DB">
              <w:t>,</w:t>
            </w:r>
            <w:r>
              <w:t xml:space="preserve"> </w:t>
            </w:r>
            <w:r w:rsidR="0027081E">
              <w:t xml:space="preserve">2012 QCCA 935, </w:t>
            </w:r>
            <w:r w:rsidR="0027081E" w:rsidRPr="001E26DB">
              <w:t xml:space="preserve">daté du </w:t>
            </w:r>
            <w:r w:rsidR="0027081E">
              <w:t>17 mai 2012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65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34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44716" w:rsidP="00C4471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C44716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F2360F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Pr="00C44716">
              <w:rPr>
                <w:lang w:val="en-US"/>
              </w:rPr>
              <w:t>500-10-004512-099, 500-10-004677-108</w:t>
            </w:r>
            <w:r>
              <w:rPr>
                <w:lang w:val="en-US"/>
              </w:rPr>
              <w:t xml:space="preserve"> and</w:t>
            </w:r>
            <w:r w:rsidRPr="00C44716">
              <w:rPr>
                <w:lang w:val="en-US"/>
              </w:rPr>
              <w:t xml:space="preserve"> 500-10-004678-106</w:t>
            </w:r>
            <w:r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27081E" w:rsidRPr="00C44716">
              <w:rPr>
                <w:lang w:val="en-US"/>
              </w:rPr>
              <w:t xml:space="preserve">2012 QCCA 935,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C44716">
              <w:rPr>
                <w:lang w:val="en-US"/>
              </w:rPr>
              <w:t>May 17,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C44716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C44716">
      <w:pPr>
        <w:jc w:val="center"/>
        <w:rPr>
          <w:lang w:val="en-US"/>
        </w:rPr>
      </w:pPr>
      <w:proofErr w:type="gramStart"/>
      <w:r w:rsidRPr="00C44716">
        <w:rPr>
          <w:lang w:val="en-US"/>
        </w:rPr>
        <w:t>J.S.C.C.</w:t>
      </w:r>
      <w:proofErr w:type="gramEnd"/>
      <w:r w:rsidR="00C44716" w:rsidRPr="002C29B6">
        <w:rPr>
          <w:lang w:val="en-US"/>
        </w:rPr>
        <w:t xml:space="preserve"> </w:t>
      </w:r>
    </w:p>
    <w:sectPr w:rsidR="009F436C" w:rsidRPr="002C29B6" w:rsidSect="00C44716">
      <w:headerReference w:type="default" r:id="rId7"/>
      <w:pgSz w:w="12240" w:h="15840"/>
      <w:pgMar w:top="1440" w:right="1440" w:bottom="81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57F0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57F09" w:rsidRPr="00417FB7">
      <w:rPr>
        <w:szCs w:val="24"/>
      </w:rPr>
      <w:fldChar w:fldCharType="separate"/>
    </w:r>
    <w:r w:rsidR="00C44716">
      <w:rPr>
        <w:noProof/>
        <w:szCs w:val="24"/>
      </w:rPr>
      <w:t>4</w:t>
    </w:r>
    <w:r w:rsidR="00D57F0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35019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091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00578"/>
    <w:rsid w:val="00C2612E"/>
    <w:rsid w:val="00C44716"/>
    <w:rsid w:val="00C609B7"/>
    <w:rsid w:val="00CF2E5D"/>
    <w:rsid w:val="00D26BFF"/>
    <w:rsid w:val="00D42339"/>
    <w:rsid w:val="00D57F0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2360F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7648-12DF-4B55-8EC3-DF6464BF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2012-11-21T13:30:00Z</dcterms:created>
  <dcterms:modified xsi:type="dcterms:W3CDTF">2012-12-04T16:31:00Z</dcterms:modified>
</cp:coreProperties>
</file>