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6E7BAE" w:rsidRDefault="009F436C"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35042</w:t>
      </w:r>
      <w:r w:rsidR="0016666F" w:rsidRPr="006E7BAE">
        <w:t>     </w:t>
      </w:r>
    </w:p>
    <w:p w:rsidR="009F436C" w:rsidRPr="006E7BAE" w:rsidRDefault="009F436C" w:rsidP="00382FEC"/>
    <w:p w:rsidR="002568D3" w:rsidRPr="006E7BAE" w:rsidRDefault="002568D3" w:rsidP="00382FEC"/>
    <w:tbl>
      <w:tblPr>
        <w:tblW w:w="5088" w:type="pct"/>
        <w:tblLayout w:type="fixed"/>
        <w:tblCellMar>
          <w:left w:w="29" w:type="dxa"/>
          <w:right w:w="29" w:type="dxa"/>
        </w:tblCellMar>
        <w:tblLook w:val="0000"/>
      </w:tblPr>
      <w:tblGrid>
        <w:gridCol w:w="4439"/>
        <w:gridCol w:w="719"/>
        <w:gridCol w:w="4426"/>
      </w:tblGrid>
      <w:tr w:rsidR="00417FB7" w:rsidRPr="006E7BAE" w:rsidTr="007B6579">
        <w:tc>
          <w:tcPr>
            <w:tcW w:w="2316" w:type="pct"/>
          </w:tcPr>
          <w:p w:rsidR="00417FB7" w:rsidRPr="006E7BAE" w:rsidRDefault="00C02000" w:rsidP="008262A3">
            <w:r>
              <w:t>February 14</w:t>
            </w:r>
            <w:r w:rsidR="00EE2A6C">
              <w:t>, 2013</w:t>
            </w:r>
          </w:p>
        </w:tc>
        <w:tc>
          <w:tcPr>
            <w:tcW w:w="375" w:type="pct"/>
          </w:tcPr>
          <w:p w:rsidR="00417FB7" w:rsidRPr="006E7BAE" w:rsidRDefault="00417FB7" w:rsidP="00382FEC"/>
        </w:tc>
        <w:tc>
          <w:tcPr>
            <w:tcW w:w="2309" w:type="pct"/>
          </w:tcPr>
          <w:p w:rsidR="00417FB7" w:rsidRPr="00D83B8C" w:rsidRDefault="00EE2A6C" w:rsidP="00C02000">
            <w:pPr>
              <w:rPr>
                <w:lang w:val="en-US"/>
              </w:rPr>
            </w:pPr>
            <w:r>
              <w:t xml:space="preserve">Le </w:t>
            </w:r>
            <w:r w:rsidR="00C02000">
              <w:t xml:space="preserve">14 </w:t>
            </w:r>
            <w:proofErr w:type="spellStart"/>
            <w:r w:rsidR="00C02000">
              <w:t>février</w:t>
            </w:r>
            <w:proofErr w:type="spellEnd"/>
            <w:r>
              <w:t xml:space="preserve"> 2013</w:t>
            </w:r>
          </w:p>
        </w:tc>
      </w:tr>
      <w:tr w:rsidR="00E12A51" w:rsidRPr="006E7BAE" w:rsidTr="007B6579">
        <w:tc>
          <w:tcPr>
            <w:tcW w:w="2316" w:type="pct"/>
          </w:tcPr>
          <w:p w:rsidR="00C2612E" w:rsidRPr="006E7BAE" w:rsidRDefault="00C2612E" w:rsidP="008262A3"/>
        </w:tc>
        <w:tc>
          <w:tcPr>
            <w:tcW w:w="375" w:type="pct"/>
          </w:tcPr>
          <w:p w:rsidR="00E12A51" w:rsidRPr="006E7BAE" w:rsidRDefault="00E12A51" w:rsidP="00382FEC"/>
        </w:tc>
        <w:tc>
          <w:tcPr>
            <w:tcW w:w="2309" w:type="pct"/>
          </w:tcPr>
          <w:p w:rsidR="00E12A51" w:rsidRPr="00D83B8C" w:rsidRDefault="00E12A51" w:rsidP="00816B78">
            <w:pPr>
              <w:rPr>
                <w:lang w:val="en-US"/>
              </w:rPr>
            </w:pPr>
          </w:p>
        </w:tc>
      </w:tr>
      <w:tr w:rsidR="00417FB7" w:rsidRPr="00F5075F" w:rsidTr="007B6579">
        <w:tc>
          <w:tcPr>
            <w:tcW w:w="2316" w:type="pct"/>
          </w:tcPr>
          <w:p w:rsidR="00417FB7" w:rsidRPr="006E7BAE" w:rsidRDefault="00417FB7" w:rsidP="008262A3">
            <w:r w:rsidRPr="006E7BAE">
              <w:t xml:space="preserve">Coram:  </w:t>
            </w:r>
            <w:r>
              <w:t>McLachlin C.J. and Abella and Cromwell JJ.</w:t>
            </w:r>
          </w:p>
        </w:tc>
        <w:tc>
          <w:tcPr>
            <w:tcW w:w="375" w:type="pct"/>
          </w:tcPr>
          <w:p w:rsidR="00417FB7" w:rsidRPr="006E7BAE" w:rsidRDefault="00417FB7" w:rsidP="00382FEC"/>
        </w:tc>
        <w:tc>
          <w:tcPr>
            <w:tcW w:w="2309" w:type="pct"/>
          </w:tcPr>
          <w:p w:rsidR="00417FB7" w:rsidRPr="006E7BAE" w:rsidRDefault="00417FB7" w:rsidP="00382FEC">
            <w:pPr>
              <w:rPr>
                <w:lang w:val="fr-CA"/>
              </w:rPr>
            </w:pPr>
            <w:r w:rsidRPr="006E7BAE">
              <w:rPr>
                <w:lang w:val="fr-CA"/>
              </w:rPr>
              <w:t xml:space="preserve">Coram : </w:t>
            </w:r>
            <w:r w:rsidRPr="007B6579">
              <w:rPr>
                <w:lang w:val="fr-CA"/>
              </w:rPr>
              <w:t>La juge en chef McLachlin et les juges Abella et Cromwell</w:t>
            </w:r>
          </w:p>
        </w:tc>
      </w:tr>
      <w:tr w:rsidR="00C2612E" w:rsidRPr="00F5075F" w:rsidTr="007B6579">
        <w:tc>
          <w:tcPr>
            <w:tcW w:w="2316" w:type="pct"/>
          </w:tcPr>
          <w:p w:rsidR="00C2612E" w:rsidRPr="007B6579" w:rsidRDefault="00C2612E" w:rsidP="008262A3">
            <w:pPr>
              <w:rPr>
                <w:lang w:val="fr-CA"/>
              </w:rPr>
            </w:pPr>
          </w:p>
          <w:p w:rsidR="00C2612E" w:rsidRPr="007B6579" w:rsidRDefault="00C2612E" w:rsidP="008262A3">
            <w:pPr>
              <w:rPr>
                <w:lang w:val="fr-CA"/>
              </w:rPr>
            </w:pPr>
          </w:p>
        </w:tc>
        <w:tc>
          <w:tcPr>
            <w:tcW w:w="375" w:type="pct"/>
          </w:tcPr>
          <w:p w:rsidR="00C2612E" w:rsidRPr="007B6579" w:rsidRDefault="00C2612E" w:rsidP="00382FEC">
            <w:pPr>
              <w:rPr>
                <w:lang w:val="fr-CA"/>
              </w:rPr>
            </w:pPr>
          </w:p>
        </w:tc>
        <w:tc>
          <w:tcPr>
            <w:tcW w:w="2309" w:type="pct"/>
          </w:tcPr>
          <w:p w:rsidR="00C2612E" w:rsidRPr="006E7BAE" w:rsidRDefault="00C2612E" w:rsidP="00382FEC">
            <w:pPr>
              <w:rPr>
                <w:lang w:val="fr-CA"/>
              </w:rPr>
            </w:pPr>
          </w:p>
        </w:tc>
      </w:tr>
      <w:tr w:rsidR="00824412" w:rsidRPr="006E7BAE" w:rsidTr="007B6579">
        <w:tc>
          <w:tcPr>
            <w:tcW w:w="2316" w:type="pct"/>
            <w:vAlign w:val="center"/>
          </w:tcPr>
          <w:p w:rsidR="006E146A" w:rsidRDefault="00D52491">
            <w:pPr>
              <w:pStyle w:val="SCCLsocPrefix"/>
            </w:pPr>
            <w:r>
              <w:t>BETWEEN:</w:t>
            </w:r>
            <w:r>
              <w:br/>
            </w:r>
          </w:p>
          <w:p w:rsidR="006E146A" w:rsidRDefault="00D52491">
            <w:pPr>
              <w:pStyle w:val="SCCLsocParty"/>
            </w:pPr>
            <w:r>
              <w:t xml:space="preserve">Sandra Buschau, Sharon M. Parent, Albert Poy, David Allen, Eileen Anderson, Christine Ash, Frederick Scott Atkinson, </w:t>
            </w:r>
            <w:proofErr w:type="spellStart"/>
            <w:r>
              <w:t>Jaspal</w:t>
            </w:r>
            <w:proofErr w:type="spellEnd"/>
            <w:r>
              <w:t xml:space="preserve"> </w:t>
            </w:r>
            <w:proofErr w:type="spellStart"/>
            <w:r>
              <w:t>Badyal</w:t>
            </w:r>
            <w:proofErr w:type="spellEnd"/>
            <w:r>
              <w:t>, Mar</w:t>
            </w:r>
            <w:r w:rsidR="00C02000">
              <w:t xml:space="preserve">y </w:t>
            </w:r>
            <w:proofErr w:type="spellStart"/>
            <w:r w:rsidR="00C02000">
              <w:t>Balfry</w:t>
            </w:r>
            <w:proofErr w:type="spellEnd"/>
            <w:r w:rsidR="00C02000">
              <w:t>, Carolyn Louise Barry,</w:t>
            </w:r>
            <w:r>
              <w:t xml:space="preserve"> Raj </w:t>
            </w:r>
            <w:proofErr w:type="spellStart"/>
            <w:r>
              <w:t>Bhamber</w:t>
            </w:r>
            <w:proofErr w:type="spellEnd"/>
            <w:r>
              <w:t>, Evelyn Bishop, Deborah Louise Bissonnette, George Boshko, Colleen Burke, Brian Carroll, Lynn Cassidy, Florence K. Colbeck, P</w:t>
            </w:r>
            <w:r w:rsidR="00C02000">
              <w:t xml:space="preserve">eter Colistro, Ernest A. </w:t>
            </w:r>
            <w:proofErr w:type="spellStart"/>
            <w:r w:rsidR="00C02000">
              <w:t>Cottle</w:t>
            </w:r>
            <w:proofErr w:type="spellEnd"/>
            <w:r>
              <w:t xml:space="preserve">, Ken </w:t>
            </w:r>
            <w:proofErr w:type="spellStart"/>
            <w:r>
              <w:t>Dann</w:t>
            </w:r>
            <w:proofErr w:type="spellEnd"/>
            <w:r>
              <w:t xml:space="preserve">, Donna De Freitas, Terry Dewell, Katrin Dolemeyer, Elizabeth Engel, Karen Engleson, George Fierheller, Joan Fisher, Gwen Ford, Don R. Fraser, Mabel Garwood, Cheryl </w:t>
            </w:r>
            <w:r w:rsidR="00C02000">
              <w:t>Gervais</w:t>
            </w:r>
            <w:r>
              <w:t>, Rose Gibb, Roger Gilodo, Murray Gjernes, Daphne Goode, Karen L. Gould, Peter James Hadikin, Marian Heibloem-Reeves, Thomas Hobley, John Iann</w:t>
            </w:r>
            <w:r w:rsidR="00C02000">
              <w:t xml:space="preserve">antuoni, Vincent A. </w:t>
            </w:r>
            <w:proofErr w:type="spellStart"/>
            <w:r w:rsidR="00C02000">
              <w:t>Iannantuoni</w:t>
            </w:r>
            <w:proofErr w:type="spellEnd"/>
            <w:r>
              <w:t xml:space="preserve">, Ron </w:t>
            </w:r>
            <w:proofErr w:type="spellStart"/>
            <w:r>
              <w:t>Inglis</w:t>
            </w:r>
            <w:proofErr w:type="spellEnd"/>
            <w:r>
              <w:t xml:space="preserve">, </w:t>
            </w:r>
            <w:proofErr w:type="spellStart"/>
            <w:r>
              <w:t>Mehroon</w:t>
            </w:r>
            <w:proofErr w:type="spellEnd"/>
            <w:r>
              <w:t xml:space="preserve"> Janmohamed, Michael J. Jervis, Marlyn Kellner, Karen Kilba, Douglas James Kilgour, Yoshinori Koga, Martin Kosuljandic, Ursula M. K</w:t>
            </w:r>
            <w:r w:rsidR="00C02000">
              <w:t>reiger, Wing Lee, Robert Leslie</w:t>
            </w:r>
            <w:r>
              <w:t xml:space="preserve">, Thomas A. Lewthwaite, Holly </w:t>
            </w:r>
            <w:r>
              <w:lastRenderedPageBreak/>
              <w:t xml:space="preserve">li, David Liddell, Rita Lim, Betty C. Lloyd, Rob Lowrie, Che-Chung Ma, Jennifer Macdonald, Robert John Macleod, Sherry M. Madden, Tom Makortoff, Fatima Manji, Edward B. Mason, Glenn A. McFarlane, Onagh Metcalfe, Dorothy Mitchell, Shirley C.T. Mui, William Neal, Katherine Sheila </w:t>
            </w:r>
            <w:proofErr w:type="spellStart"/>
            <w:r>
              <w:t>Nimmo</w:t>
            </w:r>
            <w:proofErr w:type="spellEnd"/>
            <w:r>
              <w:t xml:space="preserve">, Gloria </w:t>
            </w:r>
            <w:proofErr w:type="spellStart"/>
            <w:r>
              <w:t>Paiement</w:t>
            </w:r>
            <w:proofErr w:type="spellEnd"/>
            <w:r>
              <w:t xml:space="preserve">, Lynda </w:t>
            </w:r>
            <w:proofErr w:type="spellStart"/>
            <w:r>
              <w:t>Pasacreta</w:t>
            </w:r>
            <w:proofErr w:type="spellEnd"/>
            <w:r>
              <w:t xml:space="preserve">, Barbara Peake, Vera Piccini, Inez Pinkerton, Dave Podworny, Doug Pontifex, Victoria Prochaska, Frank </w:t>
            </w:r>
            <w:proofErr w:type="spellStart"/>
            <w:r>
              <w:t>Radelja</w:t>
            </w:r>
            <w:proofErr w:type="spellEnd"/>
            <w:r>
              <w:t xml:space="preserve">, Gale </w:t>
            </w:r>
            <w:proofErr w:type="spellStart"/>
            <w:r>
              <w:t>Rauk</w:t>
            </w:r>
            <w:proofErr w:type="spellEnd"/>
            <w:r>
              <w:t xml:space="preserve">, Ruth Roberts, Ann Louise Rodgers, Clifford James Roe, Pamela Mamon Roe, Delores Rose, Sabrina Roza-Pereira, Sandra Rybchinsky, Kenneth T. </w:t>
            </w:r>
            <w:proofErr w:type="spellStart"/>
            <w:r>
              <w:t>Salmond</w:t>
            </w:r>
            <w:proofErr w:type="spellEnd"/>
            <w:r>
              <w:t>, Marie Schneider, Alexander C. Scott, Inderjeet Sharma, Hugh Donald Shiel, Michael Shirley, George Allen Short, Glenda Simoncioni, Norm Smallwood, Gilles A. St-Dennis, Geri Stephen, Grace Isobel Stone, Mari Tsang, Carmen Tuvera, Sheera Waisman, Margaret Watson, Gertrude Westlake, Robert E. White, Patricia Jane Whitehead, Aileen Wi</w:t>
            </w:r>
            <w:r w:rsidR="007B6579">
              <w:t xml:space="preserve">lson, Elaine </w:t>
            </w:r>
            <w:proofErr w:type="spellStart"/>
            <w:r w:rsidR="007B6579">
              <w:t>Wirtz</w:t>
            </w:r>
            <w:proofErr w:type="spellEnd"/>
            <w:r w:rsidR="007B6579">
              <w:t xml:space="preserve">, Joe </w:t>
            </w:r>
            <w:proofErr w:type="spellStart"/>
            <w:r w:rsidR="007B6579">
              <w:t>Wuychuk</w:t>
            </w:r>
            <w:proofErr w:type="spellEnd"/>
            <w:r w:rsidR="007B6579">
              <w:t xml:space="preserve"> and</w:t>
            </w:r>
            <w:r>
              <w:t xml:space="preserve"> </w:t>
            </w:r>
            <w:proofErr w:type="spellStart"/>
            <w:r>
              <w:t>Zlatka</w:t>
            </w:r>
            <w:proofErr w:type="spellEnd"/>
            <w:r>
              <w:t xml:space="preserve"> Young</w:t>
            </w:r>
            <w:r>
              <w:br/>
            </w:r>
          </w:p>
          <w:p w:rsidR="006E146A" w:rsidRDefault="00D52491">
            <w:pPr>
              <w:pStyle w:val="SCCLsocPartyRole"/>
            </w:pPr>
            <w:r>
              <w:t>Applicants</w:t>
            </w:r>
            <w:r>
              <w:br/>
            </w:r>
          </w:p>
          <w:p w:rsidR="006E146A" w:rsidRDefault="00D52491">
            <w:pPr>
              <w:pStyle w:val="SCCLsocVersus"/>
            </w:pPr>
            <w:r>
              <w:t>- and -</w:t>
            </w:r>
            <w:r>
              <w:br/>
            </w:r>
          </w:p>
          <w:p w:rsidR="006E146A" w:rsidRDefault="00D52491">
            <w:pPr>
              <w:pStyle w:val="SCCLsocParty"/>
            </w:pPr>
            <w:r>
              <w:t>Rogers Communications Incorporated</w:t>
            </w:r>
            <w:r>
              <w:br/>
            </w:r>
          </w:p>
          <w:p w:rsidR="006E146A" w:rsidRDefault="00D52491">
            <w:pPr>
              <w:pStyle w:val="SCCLsocPartyRole"/>
            </w:pPr>
            <w:r>
              <w:t>Respondent</w:t>
            </w:r>
          </w:p>
        </w:tc>
        <w:tc>
          <w:tcPr>
            <w:tcW w:w="375" w:type="pct"/>
            <w:vAlign w:val="center"/>
          </w:tcPr>
          <w:p w:rsidR="00824412" w:rsidRPr="006E7BAE" w:rsidRDefault="00824412" w:rsidP="00375294"/>
        </w:tc>
        <w:tc>
          <w:tcPr>
            <w:tcW w:w="2309" w:type="pct"/>
            <w:vAlign w:val="center"/>
          </w:tcPr>
          <w:p w:rsidR="006E146A" w:rsidRDefault="00D52491">
            <w:pPr>
              <w:pStyle w:val="SCCLsocPrefix"/>
            </w:pPr>
            <w:r>
              <w:t>ENTRE :</w:t>
            </w:r>
            <w:r>
              <w:br/>
            </w:r>
          </w:p>
          <w:p w:rsidR="006E146A" w:rsidRDefault="00D52491">
            <w:pPr>
              <w:pStyle w:val="SCCLsocParty"/>
            </w:pPr>
            <w:r>
              <w:t xml:space="preserve">Sandra Buschau, Sharon M. Parent, Albert Poy, David Allen, Eileen Anderson, Christine Ash, Frederick Scott Atkinson, </w:t>
            </w:r>
            <w:proofErr w:type="spellStart"/>
            <w:r>
              <w:t>Jaspal</w:t>
            </w:r>
            <w:proofErr w:type="spellEnd"/>
            <w:r>
              <w:t xml:space="preserve"> </w:t>
            </w:r>
            <w:proofErr w:type="spellStart"/>
            <w:r>
              <w:t>Badyal</w:t>
            </w:r>
            <w:proofErr w:type="spellEnd"/>
            <w:r>
              <w:t>, Ma</w:t>
            </w:r>
            <w:r w:rsidR="00C02000">
              <w:t xml:space="preserve">ry </w:t>
            </w:r>
            <w:proofErr w:type="spellStart"/>
            <w:r w:rsidR="00C02000">
              <w:t>Balfry</w:t>
            </w:r>
            <w:proofErr w:type="spellEnd"/>
            <w:r w:rsidR="00C02000">
              <w:t>, Carolyn Louise Barry</w:t>
            </w:r>
            <w:r>
              <w:t xml:space="preserve">, Raj </w:t>
            </w:r>
            <w:proofErr w:type="spellStart"/>
            <w:r>
              <w:t>Bhamber</w:t>
            </w:r>
            <w:proofErr w:type="spellEnd"/>
            <w:r>
              <w:t xml:space="preserve">, Evelyn Bishop, Deborah Louise Bissonnette, George Boshko, Colleen Burke, Brian Carroll, Lynn Cassidy, Florence K. Colbeck, </w:t>
            </w:r>
            <w:r w:rsidR="00C02000">
              <w:t xml:space="preserve">Peter Colistro, Ernest A. </w:t>
            </w:r>
            <w:proofErr w:type="spellStart"/>
            <w:r w:rsidR="00C02000">
              <w:t>Cottl</w:t>
            </w:r>
            <w:r w:rsidR="00F5075F">
              <w:t>e</w:t>
            </w:r>
            <w:proofErr w:type="spellEnd"/>
            <w:r>
              <w:t xml:space="preserve">, Ken </w:t>
            </w:r>
            <w:proofErr w:type="spellStart"/>
            <w:r>
              <w:t>Dann</w:t>
            </w:r>
            <w:proofErr w:type="spellEnd"/>
            <w:r>
              <w:t>, Donna De Freitas, Terry Dewell, Katrin Dolemeyer, Elizabeth Engel, Karen Engleson, George Fierheller, Joan Fisher, Gwen Ford, Don R. Fraser</w:t>
            </w:r>
            <w:r w:rsidR="00C02000">
              <w:t>, Mabel Garwood, Cheryl Gervais</w:t>
            </w:r>
            <w:r>
              <w:t>, Rose Gibb, Roger Gilodo, Murray Gjernes, Daphne Goode, Karen L. Gould, Peter James Hadikin, Marian Heibloem-Reeves, Thomas Hobley, John Ianna</w:t>
            </w:r>
            <w:r w:rsidR="00F5075F">
              <w:t>ntuoni, Vincent A. Iannantuoni,</w:t>
            </w:r>
            <w:r>
              <w:t xml:space="preserve"> Ron Inglis, Mehroon Janmohamed, Michael J. Jervis, Marlyn Kellner, Karen Kilba, Douglas James Kilgour, Yoshinori Koga, Martin Kosuljandic, Ursula M. Kreiger, Wi</w:t>
            </w:r>
            <w:r w:rsidR="00C02000">
              <w:t>ng Lee, Robert Leslie</w:t>
            </w:r>
            <w:r>
              <w:t xml:space="preserve">, Thomas A. Lewthwaite, Holly </w:t>
            </w:r>
            <w:r>
              <w:lastRenderedPageBreak/>
              <w:t xml:space="preserve">li, David Liddell, Rita Lim, Betty C. Lloyd, Rob Lowrie, Che-Chung Ma, Jennifer Macdonald, Robert John Macleod, Sherry M. Madden, Tom Makortoff, Fatima Manji, Edward B. Mason, Glenn A. McFarlane, Onagh Metcalfe, Dorothy Mitchell, Shirley C.T. Mui, William Neal, Katherine Sheila </w:t>
            </w:r>
            <w:proofErr w:type="spellStart"/>
            <w:r>
              <w:t>Nimmo</w:t>
            </w:r>
            <w:proofErr w:type="spellEnd"/>
            <w:r>
              <w:t xml:space="preserve">, Gloria </w:t>
            </w:r>
            <w:proofErr w:type="spellStart"/>
            <w:r>
              <w:t>Paiement</w:t>
            </w:r>
            <w:proofErr w:type="spellEnd"/>
            <w:r>
              <w:t xml:space="preserve">, Lynda </w:t>
            </w:r>
            <w:proofErr w:type="spellStart"/>
            <w:r>
              <w:t>Pasacreta</w:t>
            </w:r>
            <w:proofErr w:type="spellEnd"/>
            <w:r>
              <w:t xml:space="preserve">, Barbara Peake, Vera Piccini, Inez Pinkerton, Dave Podworny, Doug Pontifex, Victoria Prochaska, Frank </w:t>
            </w:r>
            <w:proofErr w:type="spellStart"/>
            <w:r>
              <w:t>Radelja</w:t>
            </w:r>
            <w:proofErr w:type="spellEnd"/>
            <w:r>
              <w:t xml:space="preserve">, Gale </w:t>
            </w:r>
            <w:proofErr w:type="spellStart"/>
            <w:r>
              <w:t>Rauk</w:t>
            </w:r>
            <w:proofErr w:type="spellEnd"/>
            <w:r>
              <w:t xml:space="preserve">, Ruth Roberts, Ann Louise Rodgers, Clifford James Roe, Pamela Mamon Roe, Delores Rose, Sabrina Roza-Pereira, Sandra Rybchinsky, Kenneth T. </w:t>
            </w:r>
            <w:proofErr w:type="spellStart"/>
            <w:r>
              <w:t>Salmond</w:t>
            </w:r>
            <w:proofErr w:type="spellEnd"/>
            <w:r>
              <w:t xml:space="preserve">, Marie Schneider, Alexander C. Scott, Inderjeet Sharma, Hugh Donald Shiel, Michael Shirley, George Allen Short, Glenda Simoncioni, Norm Smallwood, Gilles A. St-Dennis, Geri Stephen, Grace Isobel Stone, Mari Tsang, Carmen Tuvera, Sheera Waisman, Margaret Watson, Gertrude Westlake, Robert E. White, Patricia Jane Whitehead, Aileen Wilson, Elaine </w:t>
            </w:r>
            <w:proofErr w:type="spellStart"/>
            <w:r>
              <w:t>Wirtz</w:t>
            </w:r>
            <w:proofErr w:type="spellEnd"/>
            <w:r>
              <w:t xml:space="preserve">, Joe </w:t>
            </w:r>
            <w:proofErr w:type="spellStart"/>
            <w:r>
              <w:t>Wu</w:t>
            </w:r>
            <w:r w:rsidR="007B6579">
              <w:t>ychuk</w:t>
            </w:r>
            <w:proofErr w:type="spellEnd"/>
            <w:r w:rsidR="007B6579">
              <w:t xml:space="preserve"> et</w:t>
            </w:r>
            <w:r>
              <w:t xml:space="preserve"> </w:t>
            </w:r>
            <w:proofErr w:type="spellStart"/>
            <w:r>
              <w:t>Zlatka</w:t>
            </w:r>
            <w:proofErr w:type="spellEnd"/>
            <w:r>
              <w:t xml:space="preserve"> Young</w:t>
            </w:r>
            <w:r>
              <w:br/>
            </w:r>
          </w:p>
          <w:p w:rsidR="006E146A" w:rsidRPr="007B6579" w:rsidRDefault="007B6579">
            <w:pPr>
              <w:pStyle w:val="SCCLsocPartyRole"/>
              <w:rPr>
                <w:lang w:val="fr-CA"/>
              </w:rPr>
            </w:pPr>
            <w:r>
              <w:rPr>
                <w:lang w:val="fr-CA"/>
              </w:rPr>
              <w:t>Demandeur</w:t>
            </w:r>
            <w:r w:rsidR="00D52491" w:rsidRPr="007B6579">
              <w:rPr>
                <w:lang w:val="fr-CA"/>
              </w:rPr>
              <w:t>s</w:t>
            </w:r>
            <w:r w:rsidR="00D52491" w:rsidRPr="007B6579">
              <w:rPr>
                <w:lang w:val="fr-CA"/>
              </w:rPr>
              <w:br/>
            </w:r>
          </w:p>
          <w:p w:rsidR="006E146A" w:rsidRPr="007B6579" w:rsidRDefault="00D52491">
            <w:pPr>
              <w:pStyle w:val="SCCLsocVersus"/>
              <w:rPr>
                <w:lang w:val="fr-CA"/>
              </w:rPr>
            </w:pPr>
            <w:r w:rsidRPr="007B6579">
              <w:rPr>
                <w:lang w:val="fr-CA"/>
              </w:rPr>
              <w:t>- et -</w:t>
            </w:r>
            <w:r w:rsidRPr="007B6579">
              <w:rPr>
                <w:lang w:val="fr-CA"/>
              </w:rPr>
              <w:br/>
            </w:r>
          </w:p>
          <w:p w:rsidR="006E146A" w:rsidRPr="007B6579" w:rsidRDefault="00D52491">
            <w:pPr>
              <w:pStyle w:val="SCCLsocParty"/>
              <w:rPr>
                <w:lang w:val="fr-CA"/>
              </w:rPr>
            </w:pPr>
            <w:r w:rsidRPr="007B6579">
              <w:rPr>
                <w:lang w:val="fr-CA"/>
              </w:rPr>
              <w:t xml:space="preserve">Rogers Communications </w:t>
            </w:r>
            <w:proofErr w:type="spellStart"/>
            <w:r w:rsidRPr="007B6579">
              <w:rPr>
                <w:lang w:val="fr-CA"/>
              </w:rPr>
              <w:t>Incorporated</w:t>
            </w:r>
            <w:proofErr w:type="spellEnd"/>
            <w:r w:rsidRPr="007B6579">
              <w:rPr>
                <w:lang w:val="fr-CA"/>
              </w:rPr>
              <w:br/>
            </w:r>
          </w:p>
          <w:p w:rsidR="006E146A" w:rsidRDefault="007B6579">
            <w:pPr>
              <w:pStyle w:val="SCCLsocPartyRole"/>
            </w:pPr>
            <w:proofErr w:type="spellStart"/>
            <w:r>
              <w:t>Intimé</w:t>
            </w:r>
            <w:r w:rsidR="00D52491">
              <w:t>e</w:t>
            </w:r>
            <w:proofErr w:type="spellEnd"/>
          </w:p>
        </w:tc>
      </w:tr>
    </w:tbl>
    <w:p w:rsidR="007B6579" w:rsidRDefault="007B6579">
      <w:r>
        <w:lastRenderedPageBreak/>
        <w:br w:type="page"/>
      </w:r>
    </w:p>
    <w:tbl>
      <w:tblPr>
        <w:tblW w:w="5088" w:type="pct"/>
        <w:tblLayout w:type="fixed"/>
        <w:tblCellMar>
          <w:left w:w="29" w:type="dxa"/>
          <w:right w:w="29" w:type="dxa"/>
        </w:tblCellMar>
        <w:tblLook w:val="0000"/>
      </w:tblPr>
      <w:tblGrid>
        <w:gridCol w:w="4439"/>
        <w:gridCol w:w="719"/>
        <w:gridCol w:w="4426"/>
      </w:tblGrid>
      <w:tr w:rsidR="00824412" w:rsidRPr="006E7BAE" w:rsidTr="007B6579">
        <w:tc>
          <w:tcPr>
            <w:tcW w:w="2316" w:type="pct"/>
            <w:vAlign w:val="center"/>
          </w:tcPr>
          <w:p w:rsidR="00824412" w:rsidRPr="006E7BAE" w:rsidRDefault="00824412" w:rsidP="00375294"/>
          <w:p w:rsidR="00824412" w:rsidRPr="006E7BAE" w:rsidRDefault="00824412" w:rsidP="00375294"/>
        </w:tc>
        <w:tc>
          <w:tcPr>
            <w:tcW w:w="375" w:type="pct"/>
            <w:vAlign w:val="center"/>
          </w:tcPr>
          <w:p w:rsidR="00824412" w:rsidRPr="006E7BAE" w:rsidRDefault="00824412" w:rsidP="00375294"/>
        </w:tc>
        <w:tc>
          <w:tcPr>
            <w:tcW w:w="2309" w:type="pct"/>
            <w:vAlign w:val="center"/>
          </w:tcPr>
          <w:p w:rsidR="00824412" w:rsidRPr="00D83B8C" w:rsidRDefault="00824412" w:rsidP="00B408F8">
            <w:pPr>
              <w:rPr>
                <w:lang w:val="en-US"/>
              </w:rPr>
            </w:pPr>
          </w:p>
        </w:tc>
      </w:tr>
      <w:tr w:rsidR="00824412" w:rsidRPr="00F5075F" w:rsidTr="007B6579">
        <w:tc>
          <w:tcPr>
            <w:tcW w:w="2316"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7B6579" w:rsidP="00C02000">
            <w:pPr>
              <w:jc w:val="both"/>
            </w:pPr>
            <w:r>
              <w:t xml:space="preserve">The motion for an extension of time to </w:t>
            </w:r>
            <w:r w:rsidR="00C02000">
              <w:t xml:space="preserve">serve and </w:t>
            </w:r>
            <w:r>
              <w:t xml:space="preserve">file the application for leave to appeal and to accept the application books as filed is granted.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Federal Court of Appeal</w:t>
            </w:r>
            <w:r w:rsidR="00824412" w:rsidRPr="006E7BAE">
              <w:t xml:space="preserve">, Number </w:t>
            </w:r>
            <w:r w:rsidR="00824412">
              <w:t>A-290-11, 2012 FCA 197</w:t>
            </w:r>
            <w:r w:rsidR="00824412" w:rsidRPr="006E7BAE">
              <w:t xml:space="preserve">, dated </w:t>
            </w:r>
            <w:r w:rsidR="00824412">
              <w:t>June 28, 2012</w:t>
            </w:r>
            <w:r>
              <w:t>, is dismissed with costs</w:t>
            </w:r>
            <w:r w:rsidR="00824412" w:rsidRPr="006E7BAE">
              <w:t>.</w:t>
            </w:r>
          </w:p>
        </w:tc>
        <w:tc>
          <w:tcPr>
            <w:tcW w:w="375" w:type="pct"/>
          </w:tcPr>
          <w:p w:rsidR="00824412" w:rsidRPr="006E7BAE" w:rsidRDefault="00824412" w:rsidP="00417FB7">
            <w:pPr>
              <w:jc w:val="center"/>
            </w:pPr>
          </w:p>
        </w:tc>
        <w:tc>
          <w:tcPr>
            <w:tcW w:w="2309"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C02000" w:rsidP="00C02000">
            <w:pPr>
              <w:jc w:val="both"/>
              <w:rPr>
                <w:lang w:val="fr-CA"/>
              </w:rPr>
            </w:pPr>
            <w:r>
              <w:rPr>
                <w:lang w:val="fr-CA"/>
              </w:rPr>
              <w:t xml:space="preserve">La requête en prorogation du délai </w:t>
            </w:r>
            <w:r w:rsidR="007B6579">
              <w:rPr>
                <w:lang w:val="fr-CA"/>
              </w:rPr>
              <w:t xml:space="preserve">de signification </w:t>
            </w:r>
            <w:r>
              <w:rPr>
                <w:lang w:val="fr-CA"/>
              </w:rPr>
              <w:t xml:space="preserve">et de dépôt </w:t>
            </w:r>
            <w:r w:rsidR="007B6579">
              <w:rPr>
                <w:lang w:val="fr-CA"/>
              </w:rPr>
              <w:t>de la demande d’autorisation d’appel et</w:t>
            </w:r>
            <w:r>
              <w:rPr>
                <w:lang w:val="fr-CA"/>
              </w:rPr>
              <w:t xml:space="preserve"> pour l’acceptation de la demande d’autorisation telle qu’elle a été déposée </w:t>
            </w:r>
            <w:r w:rsidR="007B6579">
              <w:rPr>
                <w:lang w:val="fr-CA"/>
              </w:rPr>
              <w:t xml:space="preserve">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7B6579">
              <w:rPr>
                <w:lang w:val="fr-CA"/>
              </w:rPr>
              <w:t>Cour d’appel fédérale</w:t>
            </w:r>
            <w:r w:rsidR="00824412" w:rsidRPr="006E7BAE">
              <w:rPr>
                <w:lang w:val="fr-CA"/>
              </w:rPr>
              <w:t xml:space="preserve">, numéro </w:t>
            </w:r>
            <w:r w:rsidR="007B6579">
              <w:rPr>
                <w:lang w:val="fr-CA"/>
              </w:rPr>
              <w:t xml:space="preserve">A-290-11, 2012 </w:t>
            </w:r>
            <w:r w:rsidR="00824412" w:rsidRPr="007B6579">
              <w:rPr>
                <w:lang w:val="fr-CA"/>
              </w:rPr>
              <w:t>CA</w:t>
            </w:r>
            <w:r w:rsidR="007B6579">
              <w:rPr>
                <w:lang w:val="fr-CA"/>
              </w:rPr>
              <w:t>F</w:t>
            </w:r>
            <w:r w:rsidR="00824412" w:rsidRPr="007B6579">
              <w:rPr>
                <w:lang w:val="fr-CA"/>
              </w:rPr>
              <w:t xml:space="preserve"> 197</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7B6579">
              <w:rPr>
                <w:lang w:val="fr-CA"/>
              </w:rPr>
              <w:t>28 juin 2012</w:t>
            </w:r>
            <w:r w:rsidR="007B6579">
              <w:rPr>
                <w:lang w:val="fr-CA"/>
              </w:rPr>
              <w:t>, est rejetée avec dépens</w:t>
            </w:r>
            <w:r w:rsidR="00824412"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7B6579">
      <w:pPr>
        <w:jc w:val="center"/>
        <w:rPr>
          <w:lang w:val="fr-CA"/>
        </w:rPr>
      </w:pPr>
      <w:r w:rsidRPr="00D83B8C">
        <w:rPr>
          <w:lang w:val="fr-CA"/>
        </w:rPr>
        <w:t>J.C.C.</w:t>
      </w:r>
      <w:r w:rsidR="007B6579" w:rsidRPr="00D83B8C">
        <w:rPr>
          <w:lang w:val="fr-CA"/>
        </w:rPr>
        <w:t xml:space="preserve"> </w:t>
      </w:r>
    </w:p>
    <w:sectPr w:rsidR="003A37CF" w:rsidRPr="00D83B8C" w:rsidSect="008F5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4F4C54" w:rsidRPr="00417FB7">
      <w:rPr>
        <w:szCs w:val="24"/>
      </w:rPr>
      <w:fldChar w:fldCharType="begin"/>
    </w:r>
    <w:r w:rsidRPr="00417FB7">
      <w:rPr>
        <w:szCs w:val="24"/>
      </w:rPr>
      <w:instrText xml:space="preserve"> PAGE   \* MERGEFORMAT </w:instrText>
    </w:r>
    <w:r w:rsidR="004F4C54" w:rsidRPr="00417FB7">
      <w:rPr>
        <w:szCs w:val="24"/>
      </w:rPr>
      <w:fldChar w:fldCharType="separate"/>
    </w:r>
    <w:r w:rsidR="00F5075F">
      <w:rPr>
        <w:noProof/>
        <w:szCs w:val="24"/>
      </w:rPr>
      <w:t>2</w:t>
    </w:r>
    <w:r w:rsidR="004F4C54"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35042</w:t>
    </w:r>
    <w:r>
      <w:rPr>
        <w:szCs w:val="24"/>
      </w:rPr>
      <w:t>     </w:t>
    </w:r>
  </w:p>
  <w:p w:rsidR="008F53F3" w:rsidRDefault="008F53F3" w:rsidP="008F53F3">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4F4C54"/>
    <w:rsid w:val="00512841"/>
    <w:rsid w:val="00563E2C"/>
    <w:rsid w:val="00587869"/>
    <w:rsid w:val="00612913"/>
    <w:rsid w:val="00614908"/>
    <w:rsid w:val="00650109"/>
    <w:rsid w:val="006E146A"/>
    <w:rsid w:val="006E7BAE"/>
    <w:rsid w:val="00701109"/>
    <w:rsid w:val="007372EA"/>
    <w:rsid w:val="0079129C"/>
    <w:rsid w:val="007917FE"/>
    <w:rsid w:val="007A54CC"/>
    <w:rsid w:val="007B6579"/>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02000"/>
    <w:rsid w:val="00C1285B"/>
    <w:rsid w:val="00C2612E"/>
    <w:rsid w:val="00C643F0"/>
    <w:rsid w:val="00CE249F"/>
    <w:rsid w:val="00CF17D0"/>
    <w:rsid w:val="00D42339"/>
    <w:rsid w:val="00D52491"/>
    <w:rsid w:val="00D61AC2"/>
    <w:rsid w:val="00D83B8C"/>
    <w:rsid w:val="00E12A51"/>
    <w:rsid w:val="00E777AD"/>
    <w:rsid w:val="00EA4B61"/>
    <w:rsid w:val="00EE2A6C"/>
    <w:rsid w:val="00EF6754"/>
    <w:rsid w:val="00F06BF6"/>
    <w:rsid w:val="00F1759D"/>
    <w:rsid w:val="00F20569"/>
    <w:rsid w:val="00F40FBF"/>
    <w:rsid w:val="00F47372"/>
    <w:rsid w:val="00F5034C"/>
    <w:rsid w:val="00F5075F"/>
    <w:rsid w:val="00F70D4F"/>
    <w:rsid w:val="00F76E97"/>
    <w:rsid w:val="00F84E07"/>
    <w:rsid w:val="00F874E6"/>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56FF-4D05-4FE0-A042-22817B7D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680</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mclean cara</cp:lastModifiedBy>
  <cp:revision>5</cp:revision>
  <dcterms:created xsi:type="dcterms:W3CDTF">2013-01-29T19:24:00Z</dcterms:created>
  <dcterms:modified xsi:type="dcterms:W3CDTF">2013-02-12T13:34:00Z</dcterms:modified>
</cp:coreProperties>
</file>