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Pr="006E7BAE" w:rsidRDefault="009F436C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35039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128" w:type="pct"/>
        <w:tblLayout w:type="fixed"/>
        <w:tblCellMar>
          <w:left w:w="29" w:type="dxa"/>
          <w:right w:w="29" w:type="dxa"/>
        </w:tblCellMar>
        <w:tblLook w:val="0000"/>
      </w:tblPr>
      <w:tblGrid>
        <w:gridCol w:w="4273"/>
        <w:gridCol w:w="719"/>
        <w:gridCol w:w="4667"/>
      </w:tblGrid>
      <w:tr w:rsidR="00417FB7" w:rsidRPr="006E7BAE" w:rsidTr="00A243E5">
        <w:tc>
          <w:tcPr>
            <w:tcW w:w="2212" w:type="pct"/>
          </w:tcPr>
          <w:p w:rsidR="00417FB7" w:rsidRPr="006E7BAE" w:rsidRDefault="00A243E5" w:rsidP="00A243E5">
            <w:r>
              <w:t>February 1</w:t>
            </w:r>
            <w:r w:rsidR="00EE2A6C">
              <w:t>4, 2013</w:t>
            </w:r>
          </w:p>
        </w:tc>
        <w:tc>
          <w:tcPr>
            <w:tcW w:w="372" w:type="pct"/>
          </w:tcPr>
          <w:p w:rsidR="00417FB7" w:rsidRPr="006E7BAE" w:rsidRDefault="00417FB7" w:rsidP="00382FEC"/>
        </w:tc>
        <w:tc>
          <w:tcPr>
            <w:tcW w:w="2416" w:type="pct"/>
          </w:tcPr>
          <w:p w:rsidR="00417FB7" w:rsidRPr="00D83B8C" w:rsidRDefault="00EE2A6C" w:rsidP="00A243E5">
            <w:pPr>
              <w:rPr>
                <w:lang w:val="en-US"/>
              </w:rPr>
            </w:pPr>
            <w:r>
              <w:t xml:space="preserve">Le </w:t>
            </w:r>
            <w:r w:rsidR="00A243E5">
              <w:t>1</w:t>
            </w:r>
            <w:r>
              <w:t xml:space="preserve">4 </w:t>
            </w:r>
            <w:proofErr w:type="spellStart"/>
            <w:r w:rsidR="00A243E5">
              <w:t>février</w:t>
            </w:r>
            <w:proofErr w:type="spellEnd"/>
            <w:r w:rsidR="00A243E5">
              <w:t xml:space="preserve"> </w:t>
            </w:r>
            <w:r>
              <w:t>2013</w:t>
            </w:r>
          </w:p>
        </w:tc>
      </w:tr>
      <w:tr w:rsidR="00E12A51" w:rsidRPr="006E7BAE" w:rsidTr="00A243E5">
        <w:tc>
          <w:tcPr>
            <w:tcW w:w="2212" w:type="pct"/>
          </w:tcPr>
          <w:p w:rsidR="00C2612E" w:rsidRPr="006E7BAE" w:rsidRDefault="00C2612E" w:rsidP="008262A3"/>
        </w:tc>
        <w:tc>
          <w:tcPr>
            <w:tcW w:w="372" w:type="pct"/>
          </w:tcPr>
          <w:p w:rsidR="00E12A51" w:rsidRPr="006E7BAE" w:rsidRDefault="00E12A51" w:rsidP="00382FEC"/>
        </w:tc>
        <w:tc>
          <w:tcPr>
            <w:tcW w:w="2416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A243E5" w:rsidTr="00A243E5">
        <w:tc>
          <w:tcPr>
            <w:tcW w:w="2212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Fish, Rothstein and Moldaver JJ.</w:t>
            </w:r>
          </w:p>
        </w:tc>
        <w:tc>
          <w:tcPr>
            <w:tcW w:w="372" w:type="pct"/>
          </w:tcPr>
          <w:p w:rsidR="00417FB7" w:rsidRPr="006E7BAE" w:rsidRDefault="00417FB7" w:rsidP="00382FEC"/>
        </w:tc>
        <w:tc>
          <w:tcPr>
            <w:tcW w:w="2416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A243E5">
              <w:rPr>
                <w:lang w:val="fr-CA"/>
              </w:rPr>
              <w:t xml:space="preserve">Les juges Fish, </w:t>
            </w:r>
            <w:proofErr w:type="spellStart"/>
            <w:r w:rsidRPr="00A243E5">
              <w:rPr>
                <w:lang w:val="fr-CA"/>
              </w:rPr>
              <w:t>Rothstein</w:t>
            </w:r>
            <w:proofErr w:type="spellEnd"/>
            <w:r w:rsidRPr="00A243E5">
              <w:rPr>
                <w:lang w:val="fr-CA"/>
              </w:rPr>
              <w:t xml:space="preserve"> et Moldaver</w:t>
            </w:r>
          </w:p>
        </w:tc>
      </w:tr>
      <w:tr w:rsidR="00C2612E" w:rsidRPr="00A243E5" w:rsidTr="00A243E5">
        <w:tc>
          <w:tcPr>
            <w:tcW w:w="2212" w:type="pct"/>
          </w:tcPr>
          <w:p w:rsidR="00C2612E" w:rsidRPr="00A243E5" w:rsidRDefault="00C2612E" w:rsidP="008262A3">
            <w:pPr>
              <w:rPr>
                <w:lang w:val="fr-CA"/>
              </w:rPr>
            </w:pPr>
          </w:p>
        </w:tc>
        <w:tc>
          <w:tcPr>
            <w:tcW w:w="372" w:type="pct"/>
          </w:tcPr>
          <w:p w:rsidR="00C2612E" w:rsidRPr="00A243E5" w:rsidRDefault="00C2612E" w:rsidP="00382FEC">
            <w:pPr>
              <w:rPr>
                <w:lang w:val="fr-CA"/>
              </w:rPr>
            </w:pPr>
          </w:p>
        </w:tc>
        <w:tc>
          <w:tcPr>
            <w:tcW w:w="2416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A243E5">
        <w:tc>
          <w:tcPr>
            <w:tcW w:w="2212" w:type="pct"/>
            <w:vAlign w:val="center"/>
          </w:tcPr>
          <w:p w:rsidR="002B161E" w:rsidRDefault="00A243E5">
            <w:pPr>
              <w:pStyle w:val="SCCLsocPrefix"/>
            </w:pPr>
            <w:r>
              <w:t>BETWEEN:</w:t>
            </w:r>
            <w:r>
              <w:br/>
            </w:r>
          </w:p>
          <w:p w:rsidR="002B161E" w:rsidRDefault="00A243E5">
            <w:pPr>
              <w:pStyle w:val="SCCLsocParty"/>
            </w:pPr>
            <w:r>
              <w:t>Cynthia Michelle Burton</w:t>
            </w:r>
            <w:r>
              <w:br/>
            </w:r>
          </w:p>
          <w:p w:rsidR="002B161E" w:rsidRDefault="00A243E5">
            <w:pPr>
              <w:pStyle w:val="SCCLsocPartyRole"/>
            </w:pPr>
            <w:r>
              <w:t>Applicant</w:t>
            </w:r>
            <w:r>
              <w:br/>
            </w:r>
          </w:p>
          <w:p w:rsidR="002B161E" w:rsidRDefault="00A243E5">
            <w:pPr>
              <w:pStyle w:val="SCCLsocVersus"/>
            </w:pPr>
            <w:r>
              <w:t>- and -</w:t>
            </w:r>
            <w:r>
              <w:br/>
            </w:r>
          </w:p>
          <w:p w:rsidR="002B161E" w:rsidRDefault="00A243E5">
            <w:pPr>
              <w:pStyle w:val="SCCLsocParty"/>
            </w:pPr>
            <w:r>
              <w:t>Her Majesty the Queen</w:t>
            </w:r>
            <w:r>
              <w:br/>
            </w:r>
          </w:p>
          <w:p w:rsidR="002B161E" w:rsidRDefault="00A243E5">
            <w:pPr>
              <w:pStyle w:val="SCCLsocPartyRole"/>
            </w:pPr>
            <w:r>
              <w:t>Respondent</w:t>
            </w:r>
          </w:p>
        </w:tc>
        <w:tc>
          <w:tcPr>
            <w:tcW w:w="372" w:type="pct"/>
            <w:vAlign w:val="center"/>
          </w:tcPr>
          <w:p w:rsidR="00824412" w:rsidRPr="006E7BAE" w:rsidRDefault="00824412" w:rsidP="00375294"/>
        </w:tc>
        <w:tc>
          <w:tcPr>
            <w:tcW w:w="2416" w:type="pct"/>
            <w:vAlign w:val="center"/>
          </w:tcPr>
          <w:p w:rsidR="002B161E" w:rsidRPr="00A243E5" w:rsidRDefault="00A243E5">
            <w:pPr>
              <w:pStyle w:val="SCCLsocPrefix"/>
              <w:rPr>
                <w:lang w:val="fr-CA"/>
              </w:rPr>
            </w:pPr>
            <w:r w:rsidRPr="00A243E5">
              <w:rPr>
                <w:lang w:val="fr-CA"/>
              </w:rPr>
              <w:t>ENTRE :</w:t>
            </w:r>
            <w:r w:rsidRPr="00A243E5">
              <w:rPr>
                <w:lang w:val="fr-CA"/>
              </w:rPr>
              <w:br/>
            </w:r>
          </w:p>
          <w:p w:rsidR="002B161E" w:rsidRPr="00A243E5" w:rsidRDefault="00A243E5">
            <w:pPr>
              <w:pStyle w:val="SCCLsocParty"/>
              <w:rPr>
                <w:lang w:val="fr-CA"/>
              </w:rPr>
            </w:pPr>
            <w:r w:rsidRPr="00A243E5">
              <w:rPr>
                <w:lang w:val="fr-CA"/>
              </w:rPr>
              <w:t>Cynthia Michelle Burton</w:t>
            </w:r>
            <w:r w:rsidRPr="00A243E5">
              <w:rPr>
                <w:lang w:val="fr-CA"/>
              </w:rPr>
              <w:br/>
            </w:r>
          </w:p>
          <w:p w:rsidR="002B161E" w:rsidRPr="00A243E5" w:rsidRDefault="00A243E5">
            <w:pPr>
              <w:pStyle w:val="SCCLsocPartyRole"/>
              <w:rPr>
                <w:lang w:val="fr-CA"/>
              </w:rPr>
            </w:pPr>
            <w:r w:rsidRPr="00A243E5">
              <w:rPr>
                <w:lang w:val="fr-CA"/>
              </w:rPr>
              <w:t>Demand</w:t>
            </w:r>
            <w:r w:rsidRPr="00A243E5">
              <w:rPr>
                <w:lang w:val="fr-CA"/>
              </w:rPr>
              <w:t>eresse</w:t>
            </w:r>
            <w:r w:rsidRPr="00A243E5">
              <w:rPr>
                <w:lang w:val="fr-CA"/>
              </w:rPr>
              <w:br/>
            </w:r>
          </w:p>
          <w:p w:rsidR="002B161E" w:rsidRPr="00A243E5" w:rsidRDefault="00A243E5">
            <w:pPr>
              <w:pStyle w:val="SCCLsocVersus"/>
              <w:rPr>
                <w:lang w:val="fr-CA"/>
              </w:rPr>
            </w:pPr>
            <w:r w:rsidRPr="00A243E5">
              <w:rPr>
                <w:lang w:val="fr-CA"/>
              </w:rPr>
              <w:t>- et -</w:t>
            </w:r>
            <w:r w:rsidRPr="00A243E5">
              <w:rPr>
                <w:lang w:val="fr-CA"/>
              </w:rPr>
              <w:br/>
            </w:r>
          </w:p>
          <w:p w:rsidR="002B161E" w:rsidRPr="00A243E5" w:rsidRDefault="00A243E5">
            <w:pPr>
              <w:pStyle w:val="SCCLsocParty"/>
              <w:rPr>
                <w:lang w:val="fr-CA"/>
              </w:rPr>
            </w:pPr>
            <w:r w:rsidRPr="00A243E5">
              <w:rPr>
                <w:lang w:val="fr-CA"/>
              </w:rPr>
              <w:t>Sa Majesté la Reine</w:t>
            </w:r>
            <w:r w:rsidRPr="00A243E5">
              <w:rPr>
                <w:lang w:val="fr-CA"/>
              </w:rPr>
              <w:br/>
            </w:r>
          </w:p>
          <w:p w:rsidR="002B161E" w:rsidRDefault="00A243E5" w:rsidP="00A243E5">
            <w:pPr>
              <w:pStyle w:val="SCCLsocPartyRole"/>
            </w:pPr>
            <w:proofErr w:type="spellStart"/>
            <w:r>
              <w:t>Intimé</w:t>
            </w:r>
            <w:r>
              <w:t>e</w:t>
            </w:r>
            <w:proofErr w:type="spellEnd"/>
          </w:p>
        </w:tc>
      </w:tr>
      <w:tr w:rsidR="00824412" w:rsidRPr="006E7BAE" w:rsidTr="00A243E5">
        <w:tc>
          <w:tcPr>
            <w:tcW w:w="2212" w:type="pct"/>
            <w:vAlign w:val="center"/>
          </w:tcPr>
          <w:p w:rsidR="00824412" w:rsidRPr="006E7BAE" w:rsidRDefault="00824412" w:rsidP="00375294"/>
        </w:tc>
        <w:tc>
          <w:tcPr>
            <w:tcW w:w="372" w:type="pct"/>
            <w:vAlign w:val="center"/>
          </w:tcPr>
          <w:p w:rsidR="00824412" w:rsidRPr="006E7BAE" w:rsidRDefault="00824412" w:rsidP="00375294"/>
        </w:tc>
        <w:tc>
          <w:tcPr>
            <w:tcW w:w="2416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243E5" w:rsidTr="00A243E5">
        <w:tc>
          <w:tcPr>
            <w:tcW w:w="2212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A243E5" w:rsidP="00A243E5">
            <w:pPr>
              <w:jc w:val="both"/>
            </w:pPr>
            <w:r w:rsidRPr="00A243E5">
              <w:rPr>
                <w:lang w:val="en-US"/>
              </w:rPr>
              <w:t>The motion for an extension of time to serve and file the application for leave to appeal is granted</w:t>
            </w:r>
            <w:r>
              <w:rPr>
                <w:lang w:val="en-US"/>
              </w:rPr>
              <w:t xml:space="preserve">.  The motion to appoint counsel is dismissed.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Prince Edward Island Court of Appeal</w:t>
            </w:r>
            <w:r w:rsidR="00824412" w:rsidRPr="006E7BAE">
              <w:t xml:space="preserve">, Number </w:t>
            </w:r>
            <w:r w:rsidR="00824412">
              <w:t>S1-CA-1236, 2012 PECA 12</w:t>
            </w:r>
            <w:r w:rsidR="00824412" w:rsidRPr="006E7BAE">
              <w:t xml:space="preserve">, dated </w:t>
            </w:r>
            <w:r w:rsidR="00824412">
              <w:t>July 5, 2012</w:t>
            </w:r>
            <w:r>
              <w:t>,</w:t>
            </w:r>
            <w:r w:rsidR="00824412" w:rsidRPr="006E7BAE">
              <w:t xml:space="preserve"> is </w:t>
            </w:r>
            <w:r>
              <w:t>dismissed without costs.</w:t>
            </w:r>
          </w:p>
        </w:tc>
        <w:tc>
          <w:tcPr>
            <w:tcW w:w="372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416" w:type="pct"/>
          </w:tcPr>
          <w:p w:rsidR="00824412" w:rsidRPr="00A243E5" w:rsidRDefault="00824412" w:rsidP="00C2612E">
            <w:pPr>
              <w:jc w:val="center"/>
              <w:rPr>
                <w:lang w:val="en-US"/>
              </w:rPr>
            </w:pPr>
            <w:r w:rsidRPr="00A243E5">
              <w:rPr>
                <w:lang w:val="en-US"/>
              </w:rPr>
              <w:t>JUGEMENT</w:t>
            </w:r>
          </w:p>
          <w:p w:rsidR="00824412" w:rsidRPr="00A243E5" w:rsidRDefault="00824412" w:rsidP="00417FB7">
            <w:pPr>
              <w:jc w:val="center"/>
              <w:rPr>
                <w:lang w:val="en-US"/>
              </w:rPr>
            </w:pPr>
          </w:p>
          <w:p w:rsidR="00824412" w:rsidRPr="006E7BAE" w:rsidRDefault="00A243E5" w:rsidP="00A243E5">
            <w:pPr>
              <w:jc w:val="both"/>
              <w:rPr>
                <w:lang w:val="fr-CA"/>
              </w:rPr>
            </w:pPr>
            <w:r w:rsidRPr="00A243E5">
              <w:rPr>
                <w:rFonts w:cs="Times New Roman"/>
                <w:szCs w:val="24"/>
                <w:lang w:val="fr-CA"/>
              </w:rPr>
              <w:t>La requête en prorogation du délai de signification et de dépôt de la deman</w:t>
            </w:r>
            <w:r w:rsidRPr="0000660A">
              <w:rPr>
                <w:rFonts w:cs="Times New Roman"/>
                <w:szCs w:val="24"/>
                <w:lang w:val="fr-CA"/>
              </w:rPr>
              <w:t>de d’autorisation d’appel est accueillie.</w:t>
            </w:r>
            <w:r>
              <w:rPr>
                <w:rFonts w:cs="Times New Roman"/>
                <w:szCs w:val="24"/>
                <w:lang w:val="fr-CA"/>
              </w:rPr>
              <w:t xml:space="preserve">  La requête pour la nomination d’un procureur est rejetée. 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A243E5">
              <w:rPr>
                <w:lang w:val="fr-CA"/>
              </w:rPr>
              <w:t>Cour d'appel de l’Île-du-Prince-Édouard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A243E5">
              <w:rPr>
                <w:lang w:val="fr-CA"/>
              </w:rPr>
              <w:t>S1-CA-1236, 2012 PECA 12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A243E5">
              <w:rPr>
                <w:lang w:val="fr-CA"/>
              </w:rPr>
              <w:t>5 juillet 2012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sans dépens.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A243E5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A243E5">
      <w:headerReference w:type="default" r:id="rId7"/>
      <w:pgSz w:w="12240" w:h="15840"/>
      <w:pgMar w:top="1440" w:right="1440" w:bottom="900" w:left="1440" w:header="144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2B161E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2B161E" w:rsidRPr="00417FB7">
      <w:rPr>
        <w:szCs w:val="24"/>
      </w:rPr>
      <w:fldChar w:fldCharType="separate"/>
    </w:r>
    <w:r w:rsidR="00A243E5">
      <w:rPr>
        <w:noProof/>
        <w:szCs w:val="24"/>
      </w:rPr>
      <w:t>2</w:t>
    </w:r>
    <w:r w:rsidR="002B161E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35039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D0116"/>
    <w:rsid w:val="001D4323"/>
    <w:rsid w:val="00203642"/>
    <w:rsid w:val="002523DE"/>
    <w:rsid w:val="002568D3"/>
    <w:rsid w:val="0027284C"/>
    <w:rsid w:val="002B161E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43E5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423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DA71-5C46-492A-A648-F77D547A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Sylvie Henrie</cp:lastModifiedBy>
  <cp:revision>2</cp:revision>
  <dcterms:created xsi:type="dcterms:W3CDTF">2013-01-18T19:05:00Z</dcterms:created>
  <dcterms:modified xsi:type="dcterms:W3CDTF">2013-01-18T19:05:00Z</dcterms:modified>
</cp:coreProperties>
</file>