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35026</w:t>
      </w:r>
      <w:r w:rsidR="0016666F" w:rsidRPr="006E7BAE">
        <w:t>     </w:t>
      </w:r>
    </w:p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1325F4">
        <w:tc>
          <w:tcPr>
            <w:tcW w:w="2192" w:type="pct"/>
          </w:tcPr>
          <w:p w:rsidR="00417FB7" w:rsidRPr="006E7BAE" w:rsidRDefault="00EE2A6C" w:rsidP="008262A3">
            <w:r>
              <w:t>March 7,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7 mars 2013</w:t>
            </w:r>
          </w:p>
        </w:tc>
      </w:tr>
      <w:tr w:rsidR="00E12A51" w:rsidRPr="006E7BAE" w:rsidTr="001325F4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1C23" w:rsidTr="001325F4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25F4">
              <w:rPr>
                <w:lang w:val="fr-CA"/>
              </w:rPr>
              <w:t>Les juges Fish, Rothstein et Moldaver</w:t>
            </w:r>
          </w:p>
        </w:tc>
      </w:tr>
      <w:tr w:rsidR="00C2612E" w:rsidRPr="002A1C23" w:rsidTr="001325F4">
        <w:tc>
          <w:tcPr>
            <w:tcW w:w="2192" w:type="pct"/>
          </w:tcPr>
          <w:p w:rsidR="00C2612E" w:rsidRPr="001325F4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1325F4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25F4" w:rsidTr="001325F4">
        <w:tc>
          <w:tcPr>
            <w:tcW w:w="2192" w:type="pct"/>
            <w:vAlign w:val="center"/>
          </w:tcPr>
          <w:p w:rsidR="00205BA8" w:rsidRDefault="001325F4">
            <w:pPr>
              <w:pStyle w:val="SCCLsocPrefix"/>
            </w:pPr>
            <w:r>
              <w:t>BETWEEN:</w:t>
            </w:r>
            <w:r>
              <w:br/>
            </w:r>
          </w:p>
          <w:p w:rsidR="001325F4" w:rsidRDefault="001325F4">
            <w:pPr>
              <w:pStyle w:val="SCCLsocParty"/>
            </w:pPr>
            <w:r>
              <w:t xml:space="preserve">Sattva Capital Corporation </w:t>
            </w:r>
          </w:p>
          <w:p w:rsidR="00205BA8" w:rsidRDefault="001325F4">
            <w:pPr>
              <w:pStyle w:val="SCCLsocParty"/>
            </w:pPr>
            <w:r>
              <w:t>(</w:t>
            </w:r>
            <w:proofErr w:type="gramStart"/>
            <w:r>
              <w:t>formerly</w:t>
            </w:r>
            <w:proofErr w:type="gramEnd"/>
            <w:r>
              <w:t xml:space="preserve"> </w:t>
            </w:r>
            <w:proofErr w:type="spellStart"/>
            <w:r>
              <w:t>Sattva</w:t>
            </w:r>
            <w:proofErr w:type="spellEnd"/>
            <w:r>
              <w:t xml:space="preserve"> Capital Inc.)</w:t>
            </w:r>
            <w:r>
              <w:br/>
            </w:r>
          </w:p>
          <w:p w:rsidR="00205BA8" w:rsidRDefault="001325F4">
            <w:pPr>
              <w:pStyle w:val="SCCLsocPartyRole"/>
            </w:pPr>
            <w:r>
              <w:t>Applicant</w:t>
            </w:r>
            <w:r>
              <w:br/>
            </w:r>
          </w:p>
          <w:p w:rsidR="00205BA8" w:rsidRDefault="001325F4">
            <w:pPr>
              <w:pStyle w:val="SCCLsocVersus"/>
            </w:pPr>
            <w:r>
              <w:t>- and -</w:t>
            </w:r>
            <w:r>
              <w:br/>
            </w:r>
          </w:p>
          <w:p w:rsidR="001325F4" w:rsidRDefault="001325F4">
            <w:pPr>
              <w:pStyle w:val="SCCLsocParty"/>
            </w:pPr>
            <w:r>
              <w:t xml:space="preserve">Creston Moly Corporation </w:t>
            </w:r>
          </w:p>
          <w:p w:rsidR="00205BA8" w:rsidRDefault="001325F4">
            <w:pPr>
              <w:pStyle w:val="SCCLsocParty"/>
            </w:pPr>
            <w:r>
              <w:t>(</w:t>
            </w:r>
            <w:proofErr w:type="gramStart"/>
            <w:r>
              <w:t>formerly</w:t>
            </w:r>
            <w:proofErr w:type="gramEnd"/>
            <w:r>
              <w:t xml:space="preserve"> Georgia Ventures Inc.)</w:t>
            </w:r>
            <w:r>
              <w:br/>
            </w:r>
          </w:p>
          <w:p w:rsidR="00205BA8" w:rsidRDefault="001325F4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205BA8" w:rsidRPr="001325F4" w:rsidRDefault="001325F4">
            <w:pPr>
              <w:pStyle w:val="SCCLsocPrefix"/>
              <w:rPr>
                <w:lang w:val="fr-CA"/>
              </w:rPr>
            </w:pPr>
            <w:r w:rsidRPr="001325F4">
              <w:rPr>
                <w:lang w:val="fr-CA"/>
              </w:rPr>
              <w:t>ENTRE :</w:t>
            </w:r>
            <w:r w:rsidRPr="001325F4">
              <w:rPr>
                <w:lang w:val="fr-CA"/>
              </w:rPr>
              <w:br/>
            </w:r>
          </w:p>
          <w:p w:rsidR="001325F4" w:rsidRDefault="001325F4">
            <w:pPr>
              <w:pStyle w:val="SCCLsocParty"/>
              <w:rPr>
                <w:lang w:val="fr-CA"/>
              </w:rPr>
            </w:pPr>
            <w:r w:rsidRPr="001325F4">
              <w:rPr>
                <w:lang w:val="fr-CA"/>
              </w:rPr>
              <w:t xml:space="preserve">Sattva Capital Corporation </w:t>
            </w:r>
          </w:p>
          <w:p w:rsidR="00205BA8" w:rsidRPr="001325F4" w:rsidRDefault="001325F4">
            <w:pPr>
              <w:pStyle w:val="SCCLsocParty"/>
              <w:rPr>
                <w:lang w:val="fr-CA"/>
              </w:rPr>
            </w:pPr>
            <w:r w:rsidRPr="001325F4">
              <w:rPr>
                <w:lang w:val="fr-CA"/>
              </w:rPr>
              <w:t>(anciennement Sattva Capital Inc.)</w:t>
            </w:r>
            <w:r w:rsidRPr="001325F4">
              <w:rPr>
                <w:lang w:val="fr-CA"/>
              </w:rPr>
              <w:br/>
            </w:r>
          </w:p>
          <w:p w:rsidR="00205BA8" w:rsidRPr="001325F4" w:rsidRDefault="001325F4">
            <w:pPr>
              <w:pStyle w:val="SCCLsocPartyRole"/>
              <w:rPr>
                <w:lang w:val="fr-CA"/>
              </w:rPr>
            </w:pPr>
            <w:r w:rsidRPr="001325F4">
              <w:rPr>
                <w:lang w:val="fr-CA"/>
              </w:rPr>
              <w:t>Demanderesse</w:t>
            </w:r>
            <w:r w:rsidRPr="001325F4">
              <w:rPr>
                <w:lang w:val="fr-CA"/>
              </w:rPr>
              <w:br/>
            </w:r>
          </w:p>
          <w:p w:rsidR="00205BA8" w:rsidRPr="001325F4" w:rsidRDefault="001325F4">
            <w:pPr>
              <w:pStyle w:val="SCCLsocVersus"/>
              <w:rPr>
                <w:lang w:val="fr-CA"/>
              </w:rPr>
            </w:pPr>
            <w:r w:rsidRPr="001325F4">
              <w:rPr>
                <w:lang w:val="fr-CA"/>
              </w:rPr>
              <w:t>- et -</w:t>
            </w:r>
            <w:r w:rsidRPr="001325F4">
              <w:rPr>
                <w:lang w:val="fr-CA"/>
              </w:rPr>
              <w:br/>
            </w:r>
          </w:p>
          <w:p w:rsidR="001325F4" w:rsidRDefault="001325F4">
            <w:pPr>
              <w:pStyle w:val="SCCLsocParty"/>
              <w:rPr>
                <w:lang w:val="fr-CA"/>
              </w:rPr>
            </w:pPr>
            <w:r w:rsidRPr="001325F4">
              <w:rPr>
                <w:lang w:val="fr-CA"/>
              </w:rPr>
              <w:t xml:space="preserve">Creston Moly Corporation </w:t>
            </w:r>
          </w:p>
          <w:p w:rsidR="00205BA8" w:rsidRPr="001325F4" w:rsidRDefault="001325F4">
            <w:pPr>
              <w:pStyle w:val="SCCLsocParty"/>
              <w:rPr>
                <w:lang w:val="fr-CA"/>
              </w:rPr>
            </w:pPr>
            <w:r w:rsidRPr="001325F4">
              <w:rPr>
                <w:lang w:val="fr-CA"/>
              </w:rPr>
              <w:t xml:space="preserve">(anciennement Georgia </w:t>
            </w:r>
            <w:proofErr w:type="spellStart"/>
            <w:r w:rsidRPr="001325F4">
              <w:rPr>
                <w:lang w:val="fr-CA"/>
              </w:rPr>
              <w:t>Ventures</w:t>
            </w:r>
            <w:proofErr w:type="spellEnd"/>
            <w:r w:rsidRPr="001325F4">
              <w:rPr>
                <w:lang w:val="fr-CA"/>
              </w:rPr>
              <w:t xml:space="preserve"> Inc.)</w:t>
            </w:r>
            <w:r w:rsidRPr="001325F4">
              <w:rPr>
                <w:lang w:val="fr-CA"/>
              </w:rPr>
              <w:br/>
            </w:r>
          </w:p>
          <w:p w:rsidR="00205BA8" w:rsidRPr="001325F4" w:rsidRDefault="001325F4" w:rsidP="001325F4">
            <w:pPr>
              <w:pStyle w:val="SCCLsocPartyRole"/>
              <w:rPr>
                <w:lang w:val="fr-CA"/>
              </w:rPr>
            </w:pPr>
            <w:r w:rsidRPr="001325F4">
              <w:rPr>
                <w:lang w:val="fr-CA"/>
              </w:rPr>
              <w:t>Intimée</w:t>
            </w:r>
          </w:p>
        </w:tc>
      </w:tr>
      <w:tr w:rsidR="00824412" w:rsidRPr="001325F4" w:rsidTr="001325F4">
        <w:tc>
          <w:tcPr>
            <w:tcW w:w="2192" w:type="pct"/>
            <w:vAlign w:val="center"/>
          </w:tcPr>
          <w:p w:rsidR="00824412" w:rsidRPr="001325F4" w:rsidRDefault="00824412" w:rsidP="00375294">
            <w:pPr>
              <w:rPr>
                <w:lang w:val="fr-CA"/>
              </w:rPr>
            </w:pPr>
          </w:p>
        </w:tc>
        <w:tc>
          <w:tcPr>
            <w:tcW w:w="368" w:type="pct"/>
            <w:vAlign w:val="center"/>
          </w:tcPr>
          <w:p w:rsidR="00824412" w:rsidRPr="001325F4" w:rsidRDefault="00824412" w:rsidP="00375294">
            <w:pPr>
              <w:rPr>
                <w:lang w:val="fr-CA"/>
              </w:rPr>
            </w:pPr>
          </w:p>
        </w:tc>
        <w:tc>
          <w:tcPr>
            <w:tcW w:w="2440" w:type="pct"/>
            <w:vAlign w:val="center"/>
          </w:tcPr>
          <w:p w:rsidR="00824412" w:rsidRPr="001325F4" w:rsidRDefault="00824412" w:rsidP="00B408F8">
            <w:pPr>
              <w:rPr>
                <w:lang w:val="fr-CA"/>
              </w:rPr>
            </w:pPr>
          </w:p>
        </w:tc>
      </w:tr>
      <w:tr w:rsidR="00824412" w:rsidRPr="002A1C23" w:rsidTr="001325F4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325F4" w:rsidP="00BA7BDF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BA7BDF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BA7BDF">
              <w:t xml:space="preserve">s CA037382, 2010 BCCA 239 and </w:t>
            </w:r>
            <w:r w:rsidR="00824412" w:rsidRPr="006E7BAE">
              <w:t xml:space="preserve"> </w:t>
            </w:r>
            <w:r w:rsidR="00824412">
              <w:t>CA039064, 2012 BCCA 329</w:t>
            </w:r>
            <w:r w:rsidR="00824412" w:rsidRPr="006E7BAE">
              <w:t xml:space="preserve">, dated </w:t>
            </w:r>
            <w:r w:rsidR="00BA7BDF">
              <w:t xml:space="preserve">May 14, 2010 and </w:t>
            </w:r>
            <w:r w:rsidR="00824412">
              <w:t>August 7, 2012</w:t>
            </w:r>
            <w:r>
              <w:t>,</w:t>
            </w:r>
            <w:r w:rsidR="00824412" w:rsidRPr="006E7BAE">
              <w:t xml:space="preserve"> is</w:t>
            </w:r>
            <w:r>
              <w:t xml:space="preserve"> granted with costs in the cause.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325F4" w:rsidP="002A1C23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BA7BD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BA7BD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25F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BA7BDF">
              <w:rPr>
                <w:lang w:val="fr-CA"/>
              </w:rPr>
              <w:t xml:space="preserve">s CA037382, 2010 BCCA 239 et </w:t>
            </w:r>
            <w:r w:rsidR="00824412" w:rsidRPr="001325F4">
              <w:rPr>
                <w:lang w:val="fr-CA"/>
              </w:rPr>
              <w:t>CA039064, 2012 BCCA 329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BA7BDF">
              <w:rPr>
                <w:lang w:val="fr-CA"/>
              </w:rPr>
              <w:t>s du 14 mai 2010 et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25F4">
              <w:rPr>
                <w:lang w:val="fr-CA"/>
              </w:rPr>
              <w:t>7 août 2012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acc</w:t>
            </w:r>
            <w:r w:rsidR="00BA7BDF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 avec dépens </w:t>
            </w:r>
            <w:r w:rsidRPr="001325F4">
              <w:rPr>
                <w:lang w:val="fr-CA"/>
              </w:rPr>
              <w:t>selon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A7BDF" w:rsidRDefault="00BA7BDF" w:rsidP="00417FB7">
      <w:pPr>
        <w:jc w:val="center"/>
        <w:rPr>
          <w:lang w:val="fr-CA"/>
        </w:rPr>
      </w:pPr>
    </w:p>
    <w:p w:rsidR="00BA7BDF" w:rsidRPr="00D83B8C" w:rsidRDefault="00BA7BD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325F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BA7BDF">
      <w:headerReference w:type="default" r:id="rId7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54D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54D5" w:rsidRPr="00417FB7">
      <w:rPr>
        <w:szCs w:val="24"/>
      </w:rPr>
      <w:fldChar w:fldCharType="separate"/>
    </w:r>
    <w:r w:rsidR="00BA7BDF">
      <w:rPr>
        <w:noProof/>
        <w:szCs w:val="24"/>
      </w:rPr>
      <w:t>2</w:t>
    </w:r>
    <w:r w:rsidR="000654D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654D5"/>
    <w:rsid w:val="00074657"/>
    <w:rsid w:val="00091327"/>
    <w:rsid w:val="000919B4"/>
    <w:rsid w:val="000B4AA7"/>
    <w:rsid w:val="000B76FF"/>
    <w:rsid w:val="000D7521"/>
    <w:rsid w:val="000E4CCE"/>
    <w:rsid w:val="001325F4"/>
    <w:rsid w:val="0016666F"/>
    <w:rsid w:val="00167C15"/>
    <w:rsid w:val="001D0116"/>
    <w:rsid w:val="001D4323"/>
    <w:rsid w:val="00203642"/>
    <w:rsid w:val="00205BA8"/>
    <w:rsid w:val="002523DE"/>
    <w:rsid w:val="002568D3"/>
    <w:rsid w:val="0027284C"/>
    <w:rsid w:val="002A1C2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7BD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74A7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691C-5665-483B-B7ED-A25CBDD2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cp:lastPrinted>2013-03-06T18:07:00Z</cp:lastPrinted>
  <dcterms:created xsi:type="dcterms:W3CDTF">2013-03-04T15:28:00Z</dcterms:created>
  <dcterms:modified xsi:type="dcterms:W3CDTF">2013-03-06T18:07:00Z</dcterms:modified>
</cp:coreProperties>
</file>