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35171</w:t>
      </w:r>
      <w:r w:rsidR="0016666F" w:rsidRPr="006E7BAE">
        <w:t>     </w:t>
      </w:r>
    </w:p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E66CCF">
        <w:tc>
          <w:tcPr>
            <w:tcW w:w="2233" w:type="pct"/>
          </w:tcPr>
          <w:p w:rsidR="00417FB7" w:rsidRPr="006E7BAE" w:rsidRDefault="00E66CCF" w:rsidP="00E66CCF">
            <w:r>
              <w:t>June 13</w:t>
            </w:r>
            <w:r w:rsidR="00EE2A6C"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E66CCF">
            <w:pPr>
              <w:rPr>
                <w:lang w:val="en-US"/>
              </w:rPr>
            </w:pPr>
            <w:r>
              <w:t xml:space="preserve">Le </w:t>
            </w:r>
            <w:r w:rsidR="00E66CCF">
              <w:t xml:space="preserve">13 </w:t>
            </w:r>
            <w:proofErr w:type="spellStart"/>
            <w:r w:rsidR="00E66CCF">
              <w:t>juin</w:t>
            </w:r>
            <w:proofErr w:type="spellEnd"/>
            <w:r w:rsidR="00E66CCF">
              <w:t xml:space="preserve"> </w:t>
            </w:r>
            <w:r>
              <w:t>2013</w:t>
            </w:r>
          </w:p>
        </w:tc>
      </w:tr>
      <w:tr w:rsidR="00E12A51" w:rsidRPr="006E7BAE" w:rsidTr="00E66CCF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49B6" w:rsidTr="00E66CCF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66CCF">
              <w:rPr>
                <w:lang w:val="fr-CA"/>
              </w:rPr>
              <w:t>Les juges Fish, Rothstein et Moldaver</w:t>
            </w:r>
          </w:p>
        </w:tc>
      </w:tr>
      <w:tr w:rsidR="00C2612E" w:rsidRPr="001449B6" w:rsidTr="00E66CCF">
        <w:tc>
          <w:tcPr>
            <w:tcW w:w="2233" w:type="pct"/>
          </w:tcPr>
          <w:p w:rsidR="00C2612E" w:rsidRPr="00E66CCF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E66CCF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E66CCF">
        <w:tc>
          <w:tcPr>
            <w:tcW w:w="2233" w:type="pct"/>
            <w:vAlign w:val="center"/>
          </w:tcPr>
          <w:p w:rsidR="00362006" w:rsidRDefault="00E66CCF">
            <w:pPr>
              <w:pStyle w:val="SCCLsocPrefix"/>
            </w:pPr>
            <w:r>
              <w:t>BETWEEN:</w:t>
            </w:r>
            <w:r>
              <w:br/>
            </w:r>
          </w:p>
          <w:p w:rsidR="00362006" w:rsidRDefault="00E66CCF">
            <w:pPr>
              <w:pStyle w:val="SCCLsocParty"/>
            </w:pPr>
            <w:r>
              <w:t>Julie Willmot</w:t>
            </w:r>
            <w:r>
              <w:br/>
            </w:r>
          </w:p>
          <w:p w:rsidR="00362006" w:rsidRDefault="00E66CCF">
            <w:pPr>
              <w:pStyle w:val="SCCLsocPartyRole"/>
            </w:pPr>
            <w:r>
              <w:t>Applicant</w:t>
            </w:r>
            <w:r>
              <w:br/>
            </w:r>
          </w:p>
          <w:p w:rsidR="00362006" w:rsidRDefault="00E66CCF">
            <w:pPr>
              <w:pStyle w:val="SCCLsocVersus"/>
            </w:pPr>
            <w:r>
              <w:t>- and -</w:t>
            </w:r>
            <w:r>
              <w:br/>
            </w:r>
          </w:p>
          <w:p w:rsidR="00E66CCF" w:rsidRDefault="00E66CCF">
            <w:pPr>
              <w:pStyle w:val="SCCLsocParty"/>
            </w:pPr>
            <w:r>
              <w:t xml:space="preserve">Committee of Adjustment for the Corporation of the City of Quinte West, Corporation of the City of Quinte West, Corporation of the Lower Trent Region Conservation Authority, Marlene </w:t>
            </w:r>
          </w:p>
          <w:p w:rsidR="00362006" w:rsidRDefault="00E66CCF">
            <w:pPr>
              <w:pStyle w:val="SCCLsocParty"/>
            </w:pPr>
            <w:r>
              <w:t>Crowe et Steven Crowe</w:t>
            </w:r>
            <w:r>
              <w:br/>
            </w:r>
          </w:p>
          <w:p w:rsidR="00362006" w:rsidRDefault="00E66CCF">
            <w:pPr>
              <w:pStyle w:val="SCCLsocPartyRole"/>
            </w:pPr>
            <w:r>
              <w:t>Respondents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362006" w:rsidRPr="00E66CCF" w:rsidRDefault="00E66CCF">
            <w:pPr>
              <w:pStyle w:val="SCCLsocPrefix"/>
              <w:rPr>
                <w:lang w:val="fr-CA"/>
              </w:rPr>
            </w:pPr>
            <w:r w:rsidRPr="00E66CCF">
              <w:rPr>
                <w:lang w:val="fr-CA"/>
              </w:rPr>
              <w:t>ENTRE :</w:t>
            </w:r>
            <w:r w:rsidRPr="00E66CCF">
              <w:rPr>
                <w:lang w:val="fr-CA"/>
              </w:rPr>
              <w:br/>
            </w:r>
          </w:p>
          <w:p w:rsidR="00362006" w:rsidRPr="00E66CCF" w:rsidRDefault="00E66CCF">
            <w:pPr>
              <w:pStyle w:val="SCCLsocParty"/>
              <w:rPr>
                <w:lang w:val="fr-CA"/>
              </w:rPr>
            </w:pPr>
            <w:r w:rsidRPr="00E66CCF">
              <w:rPr>
                <w:lang w:val="fr-CA"/>
              </w:rPr>
              <w:t xml:space="preserve">Julie </w:t>
            </w:r>
            <w:proofErr w:type="spellStart"/>
            <w:r w:rsidRPr="00E66CCF">
              <w:rPr>
                <w:lang w:val="fr-CA"/>
              </w:rPr>
              <w:t>Willmot</w:t>
            </w:r>
            <w:proofErr w:type="spellEnd"/>
            <w:r w:rsidRPr="00E66CCF">
              <w:rPr>
                <w:lang w:val="fr-CA"/>
              </w:rPr>
              <w:br/>
            </w:r>
          </w:p>
          <w:p w:rsidR="00362006" w:rsidRPr="00E66CCF" w:rsidRDefault="00E66CCF">
            <w:pPr>
              <w:pStyle w:val="SCCLsocPartyRole"/>
              <w:rPr>
                <w:lang w:val="fr-CA"/>
              </w:rPr>
            </w:pPr>
            <w:r w:rsidRPr="00E66CCF">
              <w:rPr>
                <w:lang w:val="fr-CA"/>
              </w:rPr>
              <w:t>Demanderesse</w:t>
            </w:r>
            <w:r w:rsidRPr="00E66CCF">
              <w:rPr>
                <w:lang w:val="fr-CA"/>
              </w:rPr>
              <w:br/>
            </w:r>
          </w:p>
          <w:p w:rsidR="00362006" w:rsidRPr="00AF5D4D" w:rsidRDefault="00E66CCF">
            <w:pPr>
              <w:pStyle w:val="SCCLsocVersus"/>
              <w:rPr>
                <w:lang w:val="fr-CA"/>
              </w:rPr>
            </w:pPr>
            <w:r w:rsidRPr="00AF5D4D">
              <w:rPr>
                <w:lang w:val="fr-CA"/>
              </w:rPr>
              <w:t>- et -</w:t>
            </w:r>
            <w:r w:rsidRPr="00AF5D4D">
              <w:rPr>
                <w:lang w:val="fr-CA"/>
              </w:rPr>
              <w:br/>
            </w:r>
          </w:p>
          <w:p w:rsidR="001449B6" w:rsidRDefault="00E66CCF">
            <w:pPr>
              <w:pStyle w:val="SCCLsocParty"/>
            </w:pPr>
            <w:r>
              <w:t xml:space="preserve">Committee of Adjustment for the </w:t>
            </w:r>
          </w:p>
          <w:p w:rsidR="00362006" w:rsidRDefault="00E66CCF">
            <w:pPr>
              <w:pStyle w:val="SCCLsocParty"/>
            </w:pPr>
            <w:r>
              <w:t>Corporation of the City of Quinte West, Corporation of the City of Quinte West, Corporation of the Lower Trent Region Conservation Authority, Marlene Crowe and Steven Crowe</w:t>
            </w:r>
            <w:r>
              <w:br/>
            </w:r>
          </w:p>
          <w:p w:rsidR="00362006" w:rsidRDefault="00E66CCF" w:rsidP="00E66CC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E66CCF">
        <w:tc>
          <w:tcPr>
            <w:tcW w:w="2233" w:type="pct"/>
            <w:vAlign w:val="center"/>
          </w:tcPr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49B6" w:rsidTr="00E66CCF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449B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1449B6">
              <w:t>s</w:t>
            </w:r>
            <w:r w:rsidRPr="006E7BAE">
              <w:t xml:space="preserve"> </w:t>
            </w:r>
            <w:r>
              <w:t>C55547</w:t>
            </w:r>
            <w:r w:rsidR="001449B6">
              <w:t xml:space="preserve"> and</w:t>
            </w:r>
            <w:r>
              <w:t xml:space="preserve"> C55548, 2012 ONCA 825</w:t>
            </w:r>
            <w:r w:rsidRPr="006E7BAE">
              <w:t xml:space="preserve">, dated </w:t>
            </w:r>
            <w:r>
              <w:t>November 23, 2012</w:t>
            </w:r>
            <w:r w:rsidR="00AF5D4D">
              <w:t>,</w:t>
            </w:r>
            <w:r w:rsidRPr="006E7BAE">
              <w:t xml:space="preserve"> is </w:t>
            </w:r>
            <w:r w:rsidR="00E66CCF">
              <w:t>dismissed with costs.  The ancillary motions filed by the applicant are dismissed.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49B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66CC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449B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66CCF">
              <w:rPr>
                <w:lang w:val="fr-CA"/>
              </w:rPr>
              <w:t>C55547</w:t>
            </w:r>
            <w:r w:rsidR="001449B6">
              <w:rPr>
                <w:lang w:val="fr-CA"/>
              </w:rPr>
              <w:t xml:space="preserve"> et</w:t>
            </w:r>
            <w:r w:rsidRPr="00E66CCF">
              <w:rPr>
                <w:lang w:val="fr-CA"/>
              </w:rPr>
              <w:t xml:space="preserve"> C55548, 2012 ONCA 825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66CCF">
              <w:rPr>
                <w:lang w:val="fr-CA"/>
              </w:rPr>
              <w:t>23 novembre 2012</w:t>
            </w:r>
            <w:r w:rsidRPr="006E7BAE">
              <w:rPr>
                <w:lang w:val="fr-CA"/>
              </w:rPr>
              <w:t>, est</w:t>
            </w:r>
            <w:r w:rsidR="00E66CCF">
              <w:rPr>
                <w:lang w:val="fr-CA"/>
              </w:rPr>
              <w:t xml:space="preserve"> rejetée avec dépens.  Les requêtes accessoires déposé</w:t>
            </w:r>
            <w:r w:rsidR="00AF5D4D">
              <w:rPr>
                <w:lang w:val="fr-CA"/>
              </w:rPr>
              <w:t>e</w:t>
            </w:r>
            <w:r w:rsidR="00E66CCF">
              <w:rPr>
                <w:lang w:val="fr-CA"/>
              </w:rPr>
              <w:t>s par la demanderesse sont rejetées.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66CC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66CCF" w:rsidRPr="00D83B8C">
        <w:rPr>
          <w:lang w:val="fr-CA"/>
        </w:rPr>
        <w:t xml:space="preserve"> </w:t>
      </w:r>
    </w:p>
    <w:sectPr w:rsidR="003A37CF" w:rsidRPr="00D83B8C" w:rsidSect="00E66CCF">
      <w:headerReference w:type="default" r:id="rId7"/>
      <w:pgSz w:w="12240" w:h="15840"/>
      <w:pgMar w:top="117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F44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F445B" w:rsidRPr="00417FB7">
      <w:rPr>
        <w:szCs w:val="24"/>
      </w:rPr>
      <w:fldChar w:fldCharType="separate"/>
    </w:r>
    <w:r w:rsidR="00E66CCF">
      <w:rPr>
        <w:noProof/>
        <w:szCs w:val="24"/>
      </w:rPr>
      <w:t>4</w:t>
    </w:r>
    <w:r w:rsidR="002F44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35171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49B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445B"/>
    <w:rsid w:val="0031097F"/>
    <w:rsid w:val="0031165C"/>
    <w:rsid w:val="00356186"/>
    <w:rsid w:val="0036200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5E3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5D4D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6CCF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A009-990C-403D-865E-48F24B7E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dcterms:created xsi:type="dcterms:W3CDTF">2013-05-27T18:53:00Z</dcterms:created>
  <dcterms:modified xsi:type="dcterms:W3CDTF">2013-06-06T14:53:00Z</dcterms:modified>
</cp:coreProperties>
</file>