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5"/>
        <w:gridCol w:w="718"/>
        <w:gridCol w:w="4847"/>
      </w:tblGrid>
      <w:tr w:rsidR="00417FB7" w:rsidRPr="006E7BAE" w:rsidTr="005B758C">
        <w:tc>
          <w:tcPr>
            <w:tcW w:w="2172" w:type="pct"/>
          </w:tcPr>
          <w:p w:rsidR="00417FB7" w:rsidRPr="006E7BAE" w:rsidRDefault="005B758C" w:rsidP="005B758C">
            <w:r>
              <w:t>June 13</w:t>
            </w:r>
            <w:r w:rsidR="00EE2A6C">
              <w:t>, 2013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5B758C">
            <w:pPr>
              <w:rPr>
                <w:lang w:val="en-US"/>
              </w:rPr>
            </w:pPr>
            <w:r>
              <w:t xml:space="preserve">Le </w:t>
            </w:r>
            <w:r w:rsidR="005B758C">
              <w:t xml:space="preserve">13 </w:t>
            </w:r>
            <w:proofErr w:type="spellStart"/>
            <w:r w:rsidR="005B758C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5B758C">
        <w:tc>
          <w:tcPr>
            <w:tcW w:w="2172" w:type="pct"/>
          </w:tcPr>
          <w:p w:rsidR="00C2612E" w:rsidRPr="006E7BAE" w:rsidRDefault="00C2612E" w:rsidP="008262A3"/>
        </w:tc>
        <w:tc>
          <w:tcPr>
            <w:tcW w:w="365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2584" w:rsidTr="005B758C">
        <w:tc>
          <w:tcPr>
            <w:tcW w:w="217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B758C">
              <w:rPr>
                <w:lang w:val="fr-CA"/>
              </w:rPr>
              <w:t>Les juges Fish, Rothstein et Moldaver</w:t>
            </w:r>
          </w:p>
        </w:tc>
      </w:tr>
      <w:tr w:rsidR="00C2612E" w:rsidRPr="00B32584" w:rsidTr="005B758C">
        <w:tc>
          <w:tcPr>
            <w:tcW w:w="2172" w:type="pct"/>
          </w:tcPr>
          <w:p w:rsidR="00C2612E" w:rsidRPr="005B758C" w:rsidRDefault="00C2612E" w:rsidP="008262A3">
            <w:pPr>
              <w:rPr>
                <w:lang w:val="fr-CA"/>
              </w:rPr>
            </w:pPr>
          </w:p>
        </w:tc>
        <w:tc>
          <w:tcPr>
            <w:tcW w:w="365" w:type="pct"/>
          </w:tcPr>
          <w:p w:rsidR="00C2612E" w:rsidRPr="005B758C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B758C">
        <w:tc>
          <w:tcPr>
            <w:tcW w:w="2172" w:type="pct"/>
            <w:vAlign w:val="center"/>
          </w:tcPr>
          <w:p w:rsidR="005111EB" w:rsidRDefault="005B758C">
            <w:pPr>
              <w:pStyle w:val="SCCLsocPrefix"/>
            </w:pPr>
            <w:r>
              <w:t>BETWEEN:</w:t>
            </w:r>
            <w:r>
              <w:br/>
            </w:r>
          </w:p>
          <w:p w:rsidR="005111EB" w:rsidRDefault="005B758C">
            <w:pPr>
              <w:pStyle w:val="SCCLsocParty"/>
            </w:pPr>
            <w:r>
              <w:t>Leith Dewar</w:t>
            </w:r>
            <w:r>
              <w:br/>
            </w:r>
          </w:p>
          <w:p w:rsidR="005111EB" w:rsidRDefault="005B758C">
            <w:pPr>
              <w:pStyle w:val="SCCLsocPartyRole"/>
            </w:pPr>
            <w:r>
              <w:t>Applicant</w:t>
            </w:r>
            <w:r>
              <w:br/>
            </w:r>
          </w:p>
          <w:p w:rsidR="005111EB" w:rsidRDefault="005B758C">
            <w:pPr>
              <w:pStyle w:val="SCCLsocVersus"/>
            </w:pPr>
            <w:r>
              <w:t>- and -</w:t>
            </w:r>
            <w:r>
              <w:br/>
            </w:r>
          </w:p>
          <w:p w:rsidR="005111EB" w:rsidRDefault="005B758C">
            <w:pPr>
              <w:pStyle w:val="SCCLsocParty"/>
            </w:pPr>
            <w:r>
              <w:t>Regina Qu’Appelle Regional Health Authority</w:t>
            </w:r>
            <w:r>
              <w:br/>
            </w:r>
          </w:p>
          <w:p w:rsidR="005111EB" w:rsidRDefault="005B758C">
            <w:pPr>
              <w:pStyle w:val="SCCLsocPartyRole"/>
            </w:pPr>
            <w:r>
              <w:t>Respondent</w:t>
            </w:r>
          </w:p>
        </w:tc>
        <w:tc>
          <w:tcPr>
            <w:tcW w:w="36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5111EB" w:rsidRPr="005B758C" w:rsidRDefault="005B758C">
            <w:pPr>
              <w:pStyle w:val="SCCLsocPrefix"/>
              <w:rPr>
                <w:lang w:val="fr-CA"/>
              </w:rPr>
            </w:pPr>
            <w:r w:rsidRPr="005B758C">
              <w:rPr>
                <w:lang w:val="fr-CA"/>
              </w:rPr>
              <w:t>ENTRE :</w:t>
            </w:r>
            <w:r w:rsidRPr="005B758C">
              <w:rPr>
                <w:lang w:val="fr-CA"/>
              </w:rPr>
              <w:br/>
            </w:r>
          </w:p>
          <w:p w:rsidR="005111EB" w:rsidRPr="005B758C" w:rsidRDefault="005B758C">
            <w:pPr>
              <w:pStyle w:val="SCCLsocParty"/>
              <w:rPr>
                <w:lang w:val="fr-CA"/>
              </w:rPr>
            </w:pPr>
            <w:proofErr w:type="spellStart"/>
            <w:r w:rsidRPr="005B758C">
              <w:rPr>
                <w:lang w:val="fr-CA"/>
              </w:rPr>
              <w:t>Leith</w:t>
            </w:r>
            <w:proofErr w:type="spellEnd"/>
            <w:r w:rsidRPr="005B758C">
              <w:rPr>
                <w:lang w:val="fr-CA"/>
              </w:rPr>
              <w:t xml:space="preserve"> Dewar</w:t>
            </w:r>
            <w:r w:rsidRPr="005B758C">
              <w:rPr>
                <w:lang w:val="fr-CA"/>
              </w:rPr>
              <w:br/>
            </w:r>
          </w:p>
          <w:p w:rsidR="005111EB" w:rsidRPr="005B758C" w:rsidRDefault="005B758C">
            <w:pPr>
              <w:pStyle w:val="SCCLsocPartyRole"/>
              <w:rPr>
                <w:lang w:val="fr-CA"/>
              </w:rPr>
            </w:pPr>
            <w:r w:rsidRPr="005B758C">
              <w:rPr>
                <w:lang w:val="fr-CA"/>
              </w:rPr>
              <w:t>Demandeur</w:t>
            </w:r>
            <w:r w:rsidRPr="005B758C">
              <w:rPr>
                <w:lang w:val="fr-CA"/>
              </w:rPr>
              <w:br/>
            </w:r>
          </w:p>
          <w:p w:rsidR="005111EB" w:rsidRPr="00B32584" w:rsidRDefault="005B758C">
            <w:pPr>
              <w:pStyle w:val="SCCLsocVersus"/>
              <w:rPr>
                <w:lang w:val="fr-CA"/>
              </w:rPr>
            </w:pPr>
            <w:r w:rsidRPr="00B32584">
              <w:rPr>
                <w:lang w:val="fr-CA"/>
              </w:rPr>
              <w:t>- et -</w:t>
            </w:r>
            <w:r w:rsidRPr="00B32584">
              <w:rPr>
                <w:lang w:val="fr-CA"/>
              </w:rPr>
              <w:br/>
            </w:r>
          </w:p>
          <w:p w:rsidR="005B758C" w:rsidRDefault="005B758C">
            <w:pPr>
              <w:pStyle w:val="SCCLsocParty"/>
            </w:pPr>
            <w:r>
              <w:t xml:space="preserve">Regina Qu’Appelle Regional Health </w:t>
            </w:r>
          </w:p>
          <w:p w:rsidR="005111EB" w:rsidRDefault="005B758C">
            <w:pPr>
              <w:pStyle w:val="SCCLsocParty"/>
            </w:pPr>
            <w:r>
              <w:t>Authority</w:t>
            </w:r>
            <w:r>
              <w:br/>
            </w:r>
          </w:p>
          <w:p w:rsidR="005111EB" w:rsidRDefault="005B758C" w:rsidP="005B758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5B758C">
        <w:tc>
          <w:tcPr>
            <w:tcW w:w="2172" w:type="pct"/>
            <w:vAlign w:val="center"/>
          </w:tcPr>
          <w:p w:rsidR="00824412" w:rsidRDefault="00824412" w:rsidP="00375294"/>
          <w:p w:rsidR="00B32584" w:rsidRPr="006E7BAE" w:rsidRDefault="00B32584" w:rsidP="00375294"/>
        </w:tc>
        <w:tc>
          <w:tcPr>
            <w:tcW w:w="36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2584" w:rsidTr="005B758C">
        <w:tc>
          <w:tcPr>
            <w:tcW w:w="217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B758C" w:rsidP="005B758C">
            <w:pPr>
              <w:jc w:val="both"/>
            </w:pPr>
            <w:r w:rsidRPr="005B758C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CACV2194, 2013 SKCA 3</w:t>
            </w:r>
            <w:r w:rsidR="00824412" w:rsidRPr="006E7BAE">
              <w:t xml:space="preserve">, dated </w:t>
            </w:r>
            <w:r w:rsidR="00824412">
              <w:t>January 15, 2013</w:t>
            </w:r>
            <w:r>
              <w:t xml:space="preserve">, </w:t>
            </w:r>
            <w:r w:rsidR="00824412" w:rsidRPr="006E7BAE">
              <w:t>is</w:t>
            </w:r>
            <w:r>
              <w:t xml:space="preserve"> dismissed with costs.</w:t>
            </w:r>
          </w:p>
        </w:tc>
        <w:tc>
          <w:tcPr>
            <w:tcW w:w="36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B758C" w:rsidP="005B758C">
            <w:pPr>
              <w:jc w:val="both"/>
              <w:rPr>
                <w:lang w:val="fr-CA"/>
              </w:rPr>
            </w:pPr>
            <w:r w:rsidRPr="005B758C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758C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B758C">
              <w:rPr>
                <w:lang w:val="fr-CA"/>
              </w:rPr>
              <w:t>CACV2194, 2013 SKCA 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758C">
              <w:rPr>
                <w:lang w:val="fr-CA"/>
              </w:rPr>
              <w:t>15 janvier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32584" w:rsidRPr="00D83B8C" w:rsidRDefault="00B3258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B758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32584">
      <w:headerReference w:type="default" r:id="rId7"/>
      <w:pgSz w:w="12240" w:h="15840"/>
      <w:pgMar w:top="1440" w:right="1440" w:bottom="10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40F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40FE" w:rsidRPr="00417FB7">
      <w:rPr>
        <w:szCs w:val="24"/>
      </w:rPr>
      <w:fldChar w:fldCharType="separate"/>
    </w:r>
    <w:r w:rsidR="00B32584">
      <w:rPr>
        <w:noProof/>
        <w:szCs w:val="24"/>
      </w:rPr>
      <w:t>2</w:t>
    </w:r>
    <w:r w:rsidR="00E440F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1EB"/>
    <w:rsid w:val="00563E2C"/>
    <w:rsid w:val="00587869"/>
    <w:rsid w:val="005B758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2584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40FE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5EBD-F9E4-405F-8CA5-3B5D438C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2013-05-27T18:49:00Z</dcterms:created>
  <dcterms:modified xsi:type="dcterms:W3CDTF">2013-06-06T15:01:00Z</dcterms:modified>
</cp:coreProperties>
</file>