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35627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0E7653" w:rsidP="008262A3">
            <w:r>
              <w:t>March 13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0E7653">
            <w:pPr>
              <w:rPr>
                <w:lang w:val="en-US"/>
              </w:rPr>
            </w:pPr>
            <w:r>
              <w:t xml:space="preserve">Le </w:t>
            </w:r>
            <w:r w:rsidR="000E7653">
              <w:t xml:space="preserve">13 mars </w:t>
            </w:r>
            <w:r>
              <w:t>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D3A58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Cromwell and Wagner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8D3A58">
              <w:rPr>
                <w:lang w:val="fr-CA"/>
              </w:rPr>
              <w:t>La juge en chef McLachlin et les juges Cromwell et Wagner</w:t>
            </w:r>
          </w:p>
        </w:tc>
      </w:tr>
      <w:tr w:rsidR="00C2612E" w:rsidRPr="008D3A58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8D3A58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8D3A58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F839F5" w:rsidRDefault="000E7653">
            <w:pPr>
              <w:pStyle w:val="SCCLsocPrefix"/>
            </w:pPr>
            <w:r>
              <w:t>BETWEEN:</w:t>
            </w:r>
            <w:r>
              <w:br/>
            </w:r>
          </w:p>
          <w:p w:rsidR="00F839F5" w:rsidRDefault="000E7653">
            <w:pPr>
              <w:pStyle w:val="SCCLsocParty"/>
            </w:pPr>
            <w:r>
              <w:t>Stephen Dalla Lana</w:t>
            </w:r>
            <w:r>
              <w:br/>
            </w:r>
          </w:p>
          <w:p w:rsidR="00F839F5" w:rsidRDefault="000E7653">
            <w:pPr>
              <w:pStyle w:val="SCCLsocPartyRole"/>
            </w:pPr>
            <w:r>
              <w:t>Applicant</w:t>
            </w:r>
            <w:r>
              <w:br/>
            </w:r>
          </w:p>
          <w:p w:rsidR="00F839F5" w:rsidRDefault="000E7653">
            <w:pPr>
              <w:pStyle w:val="SCCLsocVersus"/>
            </w:pPr>
            <w:r>
              <w:t>- and -</w:t>
            </w:r>
            <w:r>
              <w:br/>
            </w:r>
          </w:p>
          <w:p w:rsidR="00F839F5" w:rsidRDefault="000E7653">
            <w:pPr>
              <w:pStyle w:val="SCCLsocParty"/>
            </w:pPr>
            <w:r>
              <w:t>Governors of the University of Alberta and University Appeal Board</w:t>
            </w:r>
            <w:r>
              <w:br/>
            </w:r>
          </w:p>
          <w:p w:rsidR="00F839F5" w:rsidRDefault="000E765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F839F5" w:rsidRPr="008D3A58" w:rsidRDefault="000E7653">
            <w:pPr>
              <w:pStyle w:val="SCCLsocPrefix"/>
              <w:rPr>
                <w:lang w:val="fr-CA"/>
              </w:rPr>
            </w:pPr>
            <w:r w:rsidRPr="008D3A58">
              <w:rPr>
                <w:lang w:val="fr-CA"/>
              </w:rPr>
              <w:t>ENTRE :</w:t>
            </w:r>
            <w:r w:rsidRPr="008D3A58">
              <w:rPr>
                <w:lang w:val="fr-CA"/>
              </w:rPr>
              <w:br/>
            </w:r>
          </w:p>
          <w:p w:rsidR="00F839F5" w:rsidRPr="008D3A58" w:rsidRDefault="000E7653">
            <w:pPr>
              <w:pStyle w:val="SCCLsocParty"/>
              <w:rPr>
                <w:lang w:val="fr-CA"/>
              </w:rPr>
            </w:pPr>
            <w:r w:rsidRPr="008D3A58">
              <w:rPr>
                <w:lang w:val="fr-CA"/>
              </w:rPr>
              <w:t>Stephen Dalla Lana</w:t>
            </w:r>
            <w:r w:rsidRPr="008D3A58">
              <w:rPr>
                <w:lang w:val="fr-CA"/>
              </w:rPr>
              <w:br/>
            </w:r>
          </w:p>
          <w:p w:rsidR="00F839F5" w:rsidRPr="008D3A58" w:rsidRDefault="000E7653">
            <w:pPr>
              <w:pStyle w:val="SCCLsocPartyRole"/>
              <w:rPr>
                <w:lang w:val="fr-CA"/>
              </w:rPr>
            </w:pPr>
            <w:r w:rsidRPr="008D3A58">
              <w:rPr>
                <w:lang w:val="fr-CA"/>
              </w:rPr>
              <w:t>Demandeur</w:t>
            </w:r>
            <w:r w:rsidRPr="008D3A58">
              <w:rPr>
                <w:lang w:val="fr-CA"/>
              </w:rPr>
              <w:br/>
            </w:r>
          </w:p>
          <w:p w:rsidR="00F839F5" w:rsidRPr="008D3A58" w:rsidRDefault="000E7653">
            <w:pPr>
              <w:pStyle w:val="SCCLsocVersus"/>
              <w:rPr>
                <w:lang w:val="fr-CA"/>
              </w:rPr>
            </w:pPr>
            <w:r w:rsidRPr="008D3A58">
              <w:rPr>
                <w:lang w:val="fr-CA"/>
              </w:rPr>
              <w:t>- et -</w:t>
            </w:r>
            <w:r w:rsidRPr="008D3A58">
              <w:rPr>
                <w:lang w:val="fr-CA"/>
              </w:rPr>
              <w:br/>
            </w:r>
          </w:p>
          <w:p w:rsidR="00F839F5" w:rsidRDefault="008D1E4D">
            <w:pPr>
              <w:pStyle w:val="SCCLsocParty"/>
            </w:pPr>
            <w:r>
              <w:t>Governors of the University of Alberta</w:t>
            </w:r>
            <w:r w:rsidR="000B3A68">
              <w:t xml:space="preserve"> et</w:t>
            </w:r>
            <w:r>
              <w:t xml:space="preserve"> University Appeal Board</w:t>
            </w:r>
            <w:r w:rsidR="000E7653">
              <w:br/>
            </w:r>
          </w:p>
          <w:p w:rsidR="00F839F5" w:rsidRDefault="000E7653">
            <w:pPr>
              <w:pStyle w:val="SCCLsocPartyRole"/>
            </w:pPr>
            <w:r>
              <w:t>Intimé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D3A58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E7653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>1203-0118-AC, 2013 ABCA 327</w:t>
            </w:r>
            <w:r w:rsidRPr="006E7BAE">
              <w:t xml:space="preserve">, dated </w:t>
            </w:r>
            <w:r>
              <w:t>September 30, 2013</w:t>
            </w:r>
            <w:r w:rsidR="000E7653">
              <w:t>,</w:t>
            </w:r>
            <w:r w:rsidRPr="006E7BAE">
              <w:t xml:space="preserve"> is </w:t>
            </w:r>
            <w:r w:rsidR="000E7653"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E765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8D1E4D" w:rsidRPr="008D3A58">
              <w:rPr>
                <w:lang w:val="fr-CA"/>
              </w:rPr>
              <w:t>Cour d’</w:t>
            </w:r>
            <w:r w:rsidRPr="008D3A58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8D3A58">
              <w:rPr>
                <w:lang w:val="fr-CA"/>
              </w:rPr>
              <w:t>1203-0118-AC, 2013 ABCA 327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D3A58">
              <w:rPr>
                <w:lang w:val="fr-CA"/>
              </w:rPr>
              <w:t>30 septembre 2013</w:t>
            </w:r>
            <w:r w:rsidRPr="006E7BAE">
              <w:rPr>
                <w:lang w:val="fr-CA"/>
              </w:rPr>
              <w:t xml:space="preserve">, est </w:t>
            </w:r>
            <w:r w:rsidR="000E7653">
              <w:rPr>
                <w:lang w:val="fr-CA"/>
              </w:rPr>
              <w:t>rejet</w:t>
            </w:r>
            <w:r w:rsidR="000E7653">
              <w:rPr>
                <w:rFonts w:cs="Times New Roman"/>
                <w:lang w:val="fr-CA"/>
              </w:rPr>
              <w:t>é</w:t>
            </w:r>
            <w:r w:rsidR="000E7653">
              <w:rPr>
                <w:lang w:val="fr-CA"/>
              </w:rPr>
              <w:t>e avec d</w:t>
            </w:r>
            <w:r w:rsidR="000E7653">
              <w:rPr>
                <w:rFonts w:cs="Times New Roman"/>
                <w:lang w:val="fr-CA"/>
              </w:rPr>
              <w:t>é</w:t>
            </w:r>
            <w:r w:rsidR="000E7653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3A37CF" w:rsidRPr="00D83B8C" w:rsidRDefault="003A37CF" w:rsidP="008D3A58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8D3A58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A400DA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A400DA" w:rsidRPr="00417FB7">
      <w:rPr>
        <w:szCs w:val="24"/>
      </w:rPr>
      <w:fldChar w:fldCharType="separate"/>
    </w:r>
    <w:r w:rsidR="008D3A58">
      <w:rPr>
        <w:noProof/>
        <w:szCs w:val="24"/>
      </w:rPr>
      <w:t>4</w:t>
    </w:r>
    <w:r w:rsidR="00A400DA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35627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2AC5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3A68"/>
    <w:rsid w:val="000B4AA7"/>
    <w:rsid w:val="000B76FF"/>
    <w:rsid w:val="000D7521"/>
    <w:rsid w:val="000E4CCE"/>
    <w:rsid w:val="000E7653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D1E4D"/>
    <w:rsid w:val="008D3A58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400DA"/>
    <w:rsid w:val="00AB4A38"/>
    <w:rsid w:val="00AB5E22"/>
    <w:rsid w:val="00AC73C9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39F5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2014-03-11T13:07:00Z</dcterms:created>
  <dcterms:modified xsi:type="dcterms:W3CDTF">2014-03-11T13:07:00Z</dcterms:modified>
</cp:coreProperties>
</file>