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Pr="006E7BAE" w:rsidRDefault="00D83B8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35563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9C0FBB" w:rsidP="008262A3">
            <w:r>
              <w:t>October 23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C0FBB" w:rsidP="00816B78">
            <w:pPr>
              <w:rPr>
                <w:lang w:val="en-US"/>
              </w:rPr>
            </w:pPr>
            <w:r>
              <w:t>Le 23</w:t>
            </w:r>
            <w:r w:rsidR="00EF707C">
              <w:t xml:space="preserve"> octobre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45079" w:rsidRDefault="00C2612E" w:rsidP="008262A3">
            <w:pPr>
              <w:rPr>
                <w:sz w:val="20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E45079" w:rsidRDefault="00E12A51" w:rsidP="00816B78">
            <w:pPr>
              <w:rPr>
                <w:sz w:val="20"/>
                <w:lang w:val="en-US"/>
              </w:rPr>
            </w:pPr>
          </w:p>
        </w:tc>
      </w:tr>
      <w:tr w:rsidR="00417FB7" w:rsidRPr="00D7507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C0FBB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D7507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45079" w:rsidRDefault="00C2612E" w:rsidP="008262A3">
            <w:pPr>
              <w:rPr>
                <w:sz w:val="18"/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C0FB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E45079" w:rsidRDefault="00C2612E" w:rsidP="00382FEC">
            <w:pPr>
              <w:rPr>
                <w:sz w:val="20"/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8F021A" w:rsidRDefault="009C0FBB">
            <w:pPr>
              <w:pStyle w:val="SCCLsocPrefix"/>
            </w:pPr>
            <w:r>
              <w:t>BETWEEN:</w:t>
            </w:r>
            <w:r>
              <w:br/>
            </w:r>
          </w:p>
          <w:p w:rsidR="008F021A" w:rsidRDefault="009C0FBB">
            <w:pPr>
              <w:pStyle w:val="SCCLsocParty"/>
            </w:pPr>
            <w:r>
              <w:t>Teal Cedar Products Ltd.</w:t>
            </w:r>
            <w:r>
              <w:br/>
            </w:r>
          </w:p>
          <w:p w:rsidR="008F021A" w:rsidRDefault="009C0FBB">
            <w:pPr>
              <w:pStyle w:val="SCCLsocPartyRole"/>
            </w:pPr>
            <w:r>
              <w:t>Applicant</w:t>
            </w:r>
            <w:r>
              <w:br/>
            </w:r>
          </w:p>
          <w:p w:rsidR="008F021A" w:rsidRDefault="009C0FBB">
            <w:pPr>
              <w:pStyle w:val="SCCLsocVersus"/>
            </w:pPr>
            <w:r>
              <w:t>- and -</w:t>
            </w:r>
            <w:r>
              <w:br/>
            </w:r>
          </w:p>
          <w:p w:rsidR="008F021A" w:rsidRDefault="009C0FBB">
            <w:pPr>
              <w:pStyle w:val="SCCLsocParty"/>
            </w:pPr>
            <w:r>
              <w:t>Her Majesty the Queen in Right of the Province of British Columbia</w:t>
            </w:r>
            <w:r>
              <w:br/>
            </w:r>
          </w:p>
          <w:p w:rsidR="008F021A" w:rsidRDefault="009C0FB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F021A" w:rsidRPr="009C0FBB" w:rsidRDefault="009C0FBB">
            <w:pPr>
              <w:pStyle w:val="SCCLsocPrefix"/>
              <w:rPr>
                <w:lang w:val="fr-CA"/>
              </w:rPr>
            </w:pPr>
            <w:r w:rsidRPr="009C0FBB">
              <w:rPr>
                <w:lang w:val="fr-CA"/>
              </w:rPr>
              <w:t>ENTRE :</w:t>
            </w:r>
            <w:r w:rsidRPr="009C0FBB">
              <w:rPr>
                <w:lang w:val="fr-CA"/>
              </w:rPr>
              <w:br/>
            </w:r>
          </w:p>
          <w:p w:rsidR="008F021A" w:rsidRPr="009C0FBB" w:rsidRDefault="009C0FBB">
            <w:pPr>
              <w:pStyle w:val="SCCLsocParty"/>
              <w:rPr>
                <w:lang w:val="fr-CA"/>
              </w:rPr>
            </w:pPr>
            <w:r w:rsidRPr="009C0FBB">
              <w:rPr>
                <w:lang w:val="fr-CA"/>
              </w:rPr>
              <w:t>Teal Cedar Products Ltd.</w:t>
            </w:r>
            <w:r w:rsidRPr="009C0FBB">
              <w:rPr>
                <w:lang w:val="fr-CA"/>
              </w:rPr>
              <w:br/>
            </w:r>
          </w:p>
          <w:p w:rsidR="008F021A" w:rsidRPr="009C0FBB" w:rsidRDefault="009C0FB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9C0FBB">
              <w:rPr>
                <w:lang w:val="fr-CA"/>
              </w:rPr>
              <w:br/>
            </w:r>
          </w:p>
          <w:p w:rsidR="008F021A" w:rsidRPr="009C0FBB" w:rsidRDefault="009C0FBB">
            <w:pPr>
              <w:pStyle w:val="SCCLsocVersus"/>
              <w:rPr>
                <w:lang w:val="fr-CA"/>
              </w:rPr>
            </w:pPr>
            <w:r w:rsidRPr="009C0FBB">
              <w:rPr>
                <w:lang w:val="fr-CA"/>
              </w:rPr>
              <w:t>- et -</w:t>
            </w:r>
            <w:r w:rsidRPr="009C0FBB">
              <w:rPr>
                <w:lang w:val="fr-CA"/>
              </w:rPr>
              <w:br/>
            </w:r>
          </w:p>
          <w:p w:rsidR="008F021A" w:rsidRPr="009C0FBB" w:rsidRDefault="009C0FBB">
            <w:pPr>
              <w:pStyle w:val="SCCLsocParty"/>
              <w:rPr>
                <w:lang w:val="fr-CA"/>
              </w:rPr>
            </w:pPr>
            <w:r w:rsidRPr="009C0FBB">
              <w:rPr>
                <w:lang w:val="fr-CA"/>
              </w:rPr>
              <w:t>Sa Majesté la Reine du chef de la Province de Colombie-Britannique</w:t>
            </w:r>
            <w:r w:rsidRPr="009C0FBB">
              <w:rPr>
                <w:lang w:val="fr-CA"/>
              </w:rPr>
              <w:br/>
            </w:r>
          </w:p>
          <w:p w:rsidR="008F021A" w:rsidRDefault="009C0FBB" w:rsidP="009C0FBB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7507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DF4DBE" w:rsidRDefault="00DF4DBE" w:rsidP="009C0FBB">
            <w:pPr>
              <w:jc w:val="both"/>
            </w:pPr>
          </w:p>
          <w:p w:rsidR="00DF4DBE" w:rsidRDefault="00E45079" w:rsidP="00DF4DBE">
            <w:pPr>
              <w:jc w:val="both"/>
            </w:pPr>
            <w:r w:rsidRPr="00D7507F">
              <w:t>The motion to file a joint application for leave to appeal is granted.</w:t>
            </w:r>
            <w:r>
              <w:t xml:space="preserve"> </w:t>
            </w:r>
            <w:r w:rsidR="00DF4DBE" w:rsidRPr="00E45079">
              <w:t xml:space="preserve">Pursuant to subsection 43 (1.1) of the </w:t>
            </w:r>
            <w:r w:rsidR="00DF4DBE" w:rsidRPr="00E45079">
              <w:rPr>
                <w:i/>
                <w:iCs/>
              </w:rPr>
              <w:t>Supreme Court Act</w:t>
            </w:r>
            <w:r w:rsidR="00DF4DBE" w:rsidRPr="00E45079">
              <w:t>, the case forming the basis of the application for leave to appeal from the judgment of the Court of Appeal of British Columbia</w:t>
            </w:r>
            <w:r w:rsidR="00B33557" w:rsidRPr="00E45079">
              <w:t xml:space="preserve"> (Vancouver)</w:t>
            </w:r>
            <w:r w:rsidR="00DF4DBE" w:rsidRPr="00E45079">
              <w:t xml:space="preserve">, Numbers CA039893 and CA039894, 2013 BCCA 326, dated July, 10 2013, is remanded to the Court of Appeal of British Columbia for disposition in accordance with </w:t>
            </w:r>
            <w:r w:rsidR="00DF4DBE" w:rsidRPr="00E45079">
              <w:rPr>
                <w:i/>
              </w:rPr>
              <w:t>Sattva v. Creston Molly</w:t>
            </w:r>
            <w:r w:rsidR="00DF4DBE" w:rsidRPr="00E45079">
              <w:t xml:space="preserve"> (35026).</w:t>
            </w:r>
            <w:r w:rsidR="00DF4DBE">
              <w:t xml:space="preserve"> </w:t>
            </w:r>
          </w:p>
          <w:p w:rsidR="00DF4DBE" w:rsidRPr="006E7BAE" w:rsidRDefault="00DF4DBE" w:rsidP="00DF4DBE">
            <w:pPr>
              <w:jc w:val="both"/>
            </w:pP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DF4DBE" w:rsidRDefault="00DF4DBE" w:rsidP="009C0FBB">
            <w:pPr>
              <w:jc w:val="both"/>
              <w:rPr>
                <w:lang w:val="fr-CA"/>
              </w:rPr>
            </w:pPr>
          </w:p>
          <w:p w:rsidR="00DF4DBE" w:rsidRDefault="00E45079" w:rsidP="00DF4DBE">
            <w:pPr>
              <w:jc w:val="both"/>
              <w:rPr>
                <w:lang w:val="fr-CA"/>
              </w:rPr>
            </w:pPr>
            <w:r w:rsidRPr="00D7507F">
              <w:rPr>
                <w:lang w:val="fr-CA"/>
              </w:rPr>
              <w:t xml:space="preserve">La </w:t>
            </w:r>
            <w:r w:rsidR="001F4AFF" w:rsidRPr="00D7507F">
              <w:rPr>
                <w:lang w:val="fr-CA"/>
              </w:rPr>
              <w:t xml:space="preserve">requête sollicitant une demande d’autorisation conjointe </w:t>
            </w:r>
            <w:r w:rsidRPr="00D7507F">
              <w:rPr>
                <w:lang w:val="fr-CA"/>
              </w:rPr>
              <w:t>est accordée.</w:t>
            </w:r>
            <w:r>
              <w:rPr>
                <w:lang w:val="fr-CA"/>
              </w:rPr>
              <w:t xml:space="preserve"> </w:t>
            </w:r>
            <w:r w:rsidR="00DF4DBE" w:rsidRPr="00E45079">
              <w:rPr>
                <w:lang w:val="fr-CA"/>
              </w:rPr>
              <w:t xml:space="preserve">Conformément au paragraphe 43 (1.1) de la </w:t>
            </w:r>
            <w:r w:rsidR="00DF4DBE" w:rsidRPr="00E45079">
              <w:rPr>
                <w:i/>
                <w:iCs/>
                <w:lang w:val="fr-CA"/>
              </w:rPr>
              <w:t>Loi sur la Cour suprême</w:t>
            </w:r>
            <w:r w:rsidR="00DF4DBE" w:rsidRPr="00E45079">
              <w:rPr>
                <w:lang w:val="fr-CA"/>
              </w:rPr>
              <w:t>, l’affaire à l’origine de la demande d’autorisation d’appel de l’arrêt de la Cour d’appel de la Colombie- Britannique</w:t>
            </w:r>
            <w:r w:rsidR="00B33557" w:rsidRPr="00E45079">
              <w:rPr>
                <w:lang w:val="fr-CA"/>
              </w:rPr>
              <w:t xml:space="preserve"> (Vancouver)</w:t>
            </w:r>
            <w:r w:rsidR="00DF4DBE" w:rsidRPr="00E45079">
              <w:rPr>
                <w:lang w:val="fr-CA"/>
              </w:rPr>
              <w:t xml:space="preserve">, numéros CA039893 et  CA039894, 2013 BCCA 326, daté du 10 juillet 2013, est renvoyée à la Cour d’appel de la Colombie-Britannique pour qu’elle statue en conformité avec l’arrêt </w:t>
            </w:r>
            <w:r w:rsidR="00DF4DBE" w:rsidRPr="00E45079">
              <w:rPr>
                <w:i/>
                <w:lang w:val="fr-CA"/>
              </w:rPr>
              <w:t>Sattva v. Creston Molly</w:t>
            </w:r>
            <w:r w:rsidR="00DF4DBE" w:rsidRPr="00E45079">
              <w:rPr>
                <w:lang w:val="fr-CA"/>
              </w:rPr>
              <w:t xml:space="preserve"> (35026).</w:t>
            </w:r>
            <w:r w:rsidR="00DF4DBE" w:rsidRPr="009C0FBB">
              <w:rPr>
                <w:lang w:val="fr-CA"/>
              </w:rPr>
              <w:t xml:space="preserve"> </w:t>
            </w:r>
          </w:p>
          <w:p w:rsidR="00DF4DBE" w:rsidRPr="00DF4DBE" w:rsidRDefault="00DF4DBE" w:rsidP="00DF4DBE">
            <w:pPr>
              <w:jc w:val="both"/>
              <w:rPr>
                <w:lang w:val="fr-CA"/>
              </w:rPr>
            </w:pP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9C0FB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3A37CF" w:rsidRPr="00D83B8C" w:rsidSect="009C0FBB">
      <w:headerReference w:type="default" r:id="rId6"/>
      <w:pgSz w:w="12240" w:h="15840"/>
      <w:pgMar w:top="1440" w:right="1440" w:bottom="1152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F8D" w:rsidRDefault="006B2F8D">
      <w:r>
        <w:separator/>
      </w:r>
    </w:p>
  </w:endnote>
  <w:endnote w:type="continuationSeparator" w:id="0">
    <w:p w:rsidR="006B2F8D" w:rsidRDefault="006B2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F8D" w:rsidRDefault="006B2F8D">
      <w:r>
        <w:separator/>
      </w:r>
    </w:p>
  </w:footnote>
  <w:footnote w:type="continuationSeparator" w:id="0">
    <w:p w:rsidR="006B2F8D" w:rsidRDefault="006B2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34A6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34A6F" w:rsidRPr="00417FB7">
      <w:rPr>
        <w:szCs w:val="24"/>
      </w:rPr>
      <w:fldChar w:fldCharType="separate"/>
    </w:r>
    <w:r w:rsidR="00E45079">
      <w:rPr>
        <w:noProof/>
        <w:szCs w:val="24"/>
      </w:rPr>
      <w:t>2</w:t>
    </w:r>
    <w:r w:rsidR="00F34A6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35563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7B76"/>
    <w:rsid w:val="00110EB3"/>
    <w:rsid w:val="0016666F"/>
    <w:rsid w:val="00167C15"/>
    <w:rsid w:val="001B3EC0"/>
    <w:rsid w:val="001D0116"/>
    <w:rsid w:val="001D4323"/>
    <w:rsid w:val="001E1079"/>
    <w:rsid w:val="001F4AFF"/>
    <w:rsid w:val="00203642"/>
    <w:rsid w:val="00212BA0"/>
    <w:rsid w:val="00226292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B2F8D"/>
    <w:rsid w:val="006E7BAE"/>
    <w:rsid w:val="00701109"/>
    <w:rsid w:val="0073003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021A"/>
    <w:rsid w:val="008F53F3"/>
    <w:rsid w:val="009305BF"/>
    <w:rsid w:val="00951EF6"/>
    <w:rsid w:val="0096638C"/>
    <w:rsid w:val="00971A08"/>
    <w:rsid w:val="009B161D"/>
    <w:rsid w:val="009C0FBB"/>
    <w:rsid w:val="009D45DF"/>
    <w:rsid w:val="009E0F71"/>
    <w:rsid w:val="009E7A46"/>
    <w:rsid w:val="009F26C4"/>
    <w:rsid w:val="009F436C"/>
    <w:rsid w:val="00A03153"/>
    <w:rsid w:val="00A103E3"/>
    <w:rsid w:val="00A24687"/>
    <w:rsid w:val="00A252FA"/>
    <w:rsid w:val="00AB4A38"/>
    <w:rsid w:val="00AB5E22"/>
    <w:rsid w:val="00AE2077"/>
    <w:rsid w:val="00B12588"/>
    <w:rsid w:val="00B158E3"/>
    <w:rsid w:val="00B33557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7507F"/>
    <w:rsid w:val="00D83B8C"/>
    <w:rsid w:val="00DA4281"/>
    <w:rsid w:val="00DB1ADC"/>
    <w:rsid w:val="00DB7733"/>
    <w:rsid w:val="00DF4DBE"/>
    <w:rsid w:val="00E0074D"/>
    <w:rsid w:val="00E00EC1"/>
    <w:rsid w:val="00E12A51"/>
    <w:rsid w:val="00E45079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34A6F"/>
    <w:rsid w:val="00F40FBF"/>
    <w:rsid w:val="00F47372"/>
    <w:rsid w:val="00F5034C"/>
    <w:rsid w:val="00F6110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1214</Characters>
  <Application>Microsoft Office Word</Application>
  <DocSecurity>0</DocSecurity>
  <Lines>10</Lines>
  <Paragraphs>2</Paragraphs>
  <ScaleCrop>false</ScaleCrop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2014-10-22T12:56:00Z</dcterms:created>
  <dcterms:modified xsi:type="dcterms:W3CDTF">2014-10-22T12:56:00Z</dcterms:modified>
</cp:coreProperties>
</file>