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35981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730EA3" w:rsidP="008262A3">
            <w:r>
              <w:t>November 6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730EA3">
            <w:pPr>
              <w:rPr>
                <w:lang w:val="en-US"/>
              </w:rPr>
            </w:pPr>
            <w:r>
              <w:t xml:space="preserve">Le </w:t>
            </w:r>
            <w:r w:rsidR="00730EA3">
              <w:t xml:space="preserve">6 </w:t>
            </w:r>
            <w:proofErr w:type="spellStart"/>
            <w:r w:rsidR="00730EA3">
              <w:t>novembre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719F4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Cromwell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30EA3">
              <w:rPr>
                <w:lang w:val="fr-CA"/>
              </w:rPr>
              <w:t>La juge en chef McLachlin et les juges Cromwell et Wagner</w:t>
            </w:r>
          </w:p>
        </w:tc>
      </w:tr>
      <w:tr w:rsidR="00C2612E" w:rsidRPr="009719F4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730EA3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730EA3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9719F4" w:rsidTr="00C173B0">
        <w:tc>
          <w:tcPr>
            <w:tcW w:w="2269" w:type="pct"/>
          </w:tcPr>
          <w:p w:rsidR="000B1DE0" w:rsidRDefault="00730EA3">
            <w:pPr>
              <w:pStyle w:val="SCCLsocPrefix"/>
            </w:pPr>
            <w:r>
              <w:t>BETWEEN:</w:t>
            </w:r>
            <w:r>
              <w:br/>
            </w:r>
          </w:p>
          <w:p w:rsidR="000B1DE0" w:rsidRDefault="00730EA3">
            <w:pPr>
              <w:pStyle w:val="SCCLsocParty"/>
            </w:pPr>
            <w:r>
              <w:t>Asitkumar Gandhi</w:t>
            </w:r>
            <w:r>
              <w:br/>
            </w:r>
          </w:p>
          <w:p w:rsidR="000B1DE0" w:rsidRDefault="00730EA3">
            <w:pPr>
              <w:pStyle w:val="SCCLsocPartyRole"/>
            </w:pPr>
            <w:r>
              <w:t>Applicant</w:t>
            </w:r>
            <w:r>
              <w:br/>
            </w:r>
          </w:p>
          <w:p w:rsidR="000B1DE0" w:rsidRDefault="00730EA3">
            <w:pPr>
              <w:pStyle w:val="SCCLsocVersus"/>
            </w:pPr>
            <w:r>
              <w:t>- and -</w:t>
            </w:r>
            <w:r>
              <w:br/>
            </w:r>
          </w:p>
          <w:p w:rsidR="000B1DE0" w:rsidRDefault="00730EA3">
            <w:pPr>
              <w:pStyle w:val="SCCLsocParty"/>
            </w:pPr>
            <w:r>
              <w:t>Her Majesty the Queen</w:t>
            </w:r>
            <w:r>
              <w:br/>
            </w:r>
          </w:p>
          <w:p w:rsidR="000B1DE0" w:rsidRDefault="00730EA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0B1DE0" w:rsidRPr="00730EA3" w:rsidRDefault="00730EA3">
            <w:pPr>
              <w:pStyle w:val="SCCLsocPrefix"/>
              <w:rPr>
                <w:lang w:val="fr-CA"/>
              </w:rPr>
            </w:pPr>
            <w:r w:rsidRPr="00730EA3">
              <w:rPr>
                <w:lang w:val="fr-CA"/>
              </w:rPr>
              <w:t>ENTRE :</w:t>
            </w:r>
            <w:r w:rsidRPr="00730EA3">
              <w:rPr>
                <w:lang w:val="fr-CA"/>
              </w:rPr>
              <w:br/>
            </w:r>
          </w:p>
          <w:p w:rsidR="000B1DE0" w:rsidRPr="00730EA3" w:rsidRDefault="00730EA3">
            <w:pPr>
              <w:pStyle w:val="SCCLsocParty"/>
              <w:rPr>
                <w:lang w:val="fr-CA"/>
              </w:rPr>
            </w:pPr>
            <w:proofErr w:type="spellStart"/>
            <w:r w:rsidRPr="00730EA3">
              <w:rPr>
                <w:lang w:val="fr-CA"/>
              </w:rPr>
              <w:t>Asitkumar</w:t>
            </w:r>
            <w:proofErr w:type="spellEnd"/>
            <w:r w:rsidRPr="00730EA3">
              <w:rPr>
                <w:lang w:val="fr-CA"/>
              </w:rPr>
              <w:t xml:space="preserve"> Gandhi</w:t>
            </w:r>
            <w:r w:rsidRPr="00730EA3">
              <w:rPr>
                <w:lang w:val="fr-CA"/>
              </w:rPr>
              <w:br/>
            </w:r>
          </w:p>
          <w:p w:rsidR="000B1DE0" w:rsidRPr="00730EA3" w:rsidRDefault="00730EA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730EA3">
              <w:rPr>
                <w:lang w:val="fr-CA"/>
              </w:rPr>
              <w:br/>
            </w:r>
          </w:p>
          <w:p w:rsidR="000B1DE0" w:rsidRPr="00730EA3" w:rsidRDefault="00730EA3">
            <w:pPr>
              <w:pStyle w:val="SCCLsocVersus"/>
              <w:rPr>
                <w:lang w:val="fr-CA"/>
              </w:rPr>
            </w:pPr>
            <w:r w:rsidRPr="00730EA3">
              <w:rPr>
                <w:lang w:val="fr-CA"/>
              </w:rPr>
              <w:t>- et -</w:t>
            </w:r>
            <w:r w:rsidRPr="00730EA3">
              <w:rPr>
                <w:lang w:val="fr-CA"/>
              </w:rPr>
              <w:br/>
            </w:r>
          </w:p>
          <w:p w:rsidR="000B1DE0" w:rsidRPr="00730EA3" w:rsidRDefault="00730EA3">
            <w:pPr>
              <w:pStyle w:val="SCCLsocParty"/>
              <w:rPr>
                <w:lang w:val="fr-CA"/>
              </w:rPr>
            </w:pPr>
            <w:r w:rsidRPr="00730EA3">
              <w:rPr>
                <w:lang w:val="fr-CA"/>
              </w:rPr>
              <w:t>Sa Majesté la Reine</w:t>
            </w:r>
            <w:r w:rsidRPr="00730EA3">
              <w:rPr>
                <w:lang w:val="fr-CA"/>
              </w:rPr>
              <w:br/>
            </w:r>
          </w:p>
          <w:p w:rsidR="000B1DE0" w:rsidRPr="00F003FC" w:rsidRDefault="00730EA3">
            <w:pPr>
              <w:pStyle w:val="SCCLsocPartyRole"/>
              <w:rPr>
                <w:lang w:val="fr-CA"/>
              </w:rPr>
            </w:pPr>
            <w:r w:rsidRPr="00F003FC">
              <w:rPr>
                <w:lang w:val="fr-CA"/>
              </w:rPr>
              <w:t>Intimée</w:t>
            </w:r>
          </w:p>
        </w:tc>
      </w:tr>
      <w:tr w:rsidR="00824412" w:rsidRPr="009719F4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F003FC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F003FC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F003FC" w:rsidRDefault="00824412" w:rsidP="00B408F8">
            <w:pPr>
              <w:rPr>
                <w:lang w:val="fr-CA"/>
              </w:rPr>
            </w:pPr>
          </w:p>
        </w:tc>
      </w:tr>
      <w:tr w:rsidR="00824412" w:rsidRPr="009719F4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F003FC">
            <w:pPr>
              <w:jc w:val="both"/>
            </w:pPr>
            <w:r w:rsidRPr="006E7BAE">
              <w:t>The</w:t>
            </w:r>
            <w:r w:rsidR="00730EA3">
              <w:t xml:space="preserve"> motion for an extension of time to serve the application for leave to appeal is granted.  The</w:t>
            </w:r>
            <w:r w:rsidRPr="006E7BAE">
              <w:t xml:space="preserve">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C57546</w:t>
            </w:r>
            <w:r w:rsidRPr="006E7BAE">
              <w:t xml:space="preserve">, </w:t>
            </w:r>
            <w:proofErr w:type="gramStart"/>
            <w:r w:rsidRPr="006E7BAE">
              <w:t>dated</w:t>
            </w:r>
            <w:proofErr w:type="gramEnd"/>
            <w:r w:rsidRPr="006E7BAE">
              <w:t xml:space="preserve"> </w:t>
            </w:r>
            <w:r>
              <w:t>March 10, 2014</w:t>
            </w:r>
            <w:r w:rsidRPr="006E7BAE">
              <w:t xml:space="preserve"> is </w:t>
            </w:r>
            <w:r w:rsidR="00730EA3">
              <w:t>dismissed without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F003F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730EA3">
              <w:rPr>
                <w:lang w:val="fr-CA"/>
              </w:rPr>
              <w:t>requ</w:t>
            </w:r>
            <w:r w:rsidR="00730EA3">
              <w:rPr>
                <w:rFonts w:cs="Times New Roman"/>
                <w:lang w:val="fr-CA"/>
              </w:rPr>
              <w:t>ê</w:t>
            </w:r>
            <w:r w:rsidR="00730EA3">
              <w:rPr>
                <w:lang w:val="fr-CA"/>
              </w:rPr>
              <w:t>te en prorogation du d</w:t>
            </w:r>
            <w:r w:rsidR="00730EA3">
              <w:rPr>
                <w:rFonts w:cs="Times New Roman"/>
                <w:lang w:val="fr-CA"/>
              </w:rPr>
              <w:t>é</w:t>
            </w:r>
            <w:r w:rsidR="00730EA3">
              <w:rPr>
                <w:lang w:val="fr-CA"/>
              </w:rPr>
              <w:t xml:space="preserve">lai de signification de la demande d’autorisation d’appel est accueillie. 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30EA3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30EA3">
              <w:rPr>
                <w:lang w:val="fr-CA"/>
              </w:rPr>
              <w:t>C57546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30EA3">
              <w:rPr>
                <w:lang w:val="fr-CA"/>
              </w:rPr>
              <w:t>10 mars 2014</w:t>
            </w:r>
            <w:r w:rsidRPr="006E7BAE">
              <w:rPr>
                <w:lang w:val="fr-CA"/>
              </w:rPr>
              <w:t xml:space="preserve">, est </w:t>
            </w:r>
            <w:r w:rsidR="00730EA3">
              <w:rPr>
                <w:lang w:val="fr-CA"/>
              </w:rPr>
              <w:t>rejet</w:t>
            </w:r>
            <w:r w:rsidR="00730EA3">
              <w:rPr>
                <w:rFonts w:cs="Times New Roman"/>
                <w:lang w:val="fr-CA"/>
              </w:rPr>
              <w:t>é</w:t>
            </w:r>
            <w:r w:rsidR="00730EA3">
              <w:rPr>
                <w:lang w:val="fr-CA"/>
              </w:rPr>
              <w:t>e sans d</w:t>
            </w:r>
            <w:r w:rsidR="00730EA3">
              <w:rPr>
                <w:rFonts w:cs="Times New Roman"/>
                <w:lang w:val="fr-CA"/>
              </w:rPr>
              <w:t>é</w:t>
            </w:r>
            <w:r w:rsidR="00730EA3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Default="009F436C" w:rsidP="00382FEC">
      <w:pPr>
        <w:rPr>
          <w:lang w:val="fr-CA"/>
        </w:rPr>
      </w:pPr>
    </w:p>
    <w:p w:rsidR="009719F4" w:rsidRPr="00D83B8C" w:rsidRDefault="009719F4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730EA3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5247B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5247B" w:rsidRPr="00417FB7">
      <w:rPr>
        <w:szCs w:val="24"/>
      </w:rPr>
      <w:fldChar w:fldCharType="separate"/>
    </w:r>
    <w:r w:rsidR="00730EA3">
      <w:rPr>
        <w:noProof/>
        <w:szCs w:val="24"/>
      </w:rPr>
      <w:t>2</w:t>
    </w:r>
    <w:r w:rsidR="0035247B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35981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1DE0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247B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0EA3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9F4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D4B25"/>
    <w:rsid w:val="00EE2A6C"/>
    <w:rsid w:val="00EF6754"/>
    <w:rsid w:val="00EF707C"/>
    <w:rsid w:val="00F003F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751</Characters>
  <Application>Microsoft Office Word</Application>
  <DocSecurity>0</DocSecurity>
  <Lines>6</Lines>
  <Paragraphs>1</Paragraphs>
  <ScaleCrop>false</ScaleCrop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2014-10-27T17:52:00Z</dcterms:created>
  <dcterms:modified xsi:type="dcterms:W3CDTF">2014-11-05T13:28:00Z</dcterms:modified>
</cp:coreProperties>
</file>