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E3B65" w:rsidP="008262A3">
            <w:r>
              <w:t>November 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E3B65">
            <w:pPr>
              <w:rPr>
                <w:lang w:val="en-US"/>
              </w:rPr>
            </w:pPr>
            <w:r>
              <w:t xml:space="preserve">Le </w:t>
            </w:r>
            <w:r w:rsidR="008E3B65">
              <w:t>5 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6F9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3B65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096F9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E3B6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E3B6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96F9C" w:rsidTr="00C173B0">
        <w:tc>
          <w:tcPr>
            <w:tcW w:w="2269" w:type="pct"/>
          </w:tcPr>
          <w:p w:rsidR="00842543" w:rsidRDefault="008E3B65">
            <w:pPr>
              <w:pStyle w:val="SCCLsocPrefix"/>
            </w:pPr>
            <w:r>
              <w:t>BETWEEN:</w:t>
            </w:r>
            <w:r>
              <w:br/>
            </w:r>
          </w:p>
          <w:p w:rsidR="00842543" w:rsidRDefault="008E3B65">
            <w:pPr>
              <w:pStyle w:val="SCCLsocParty"/>
            </w:pPr>
            <w:r>
              <w:t>Urszula Krzyz</w:t>
            </w:r>
            <w:r>
              <w:br/>
            </w:r>
          </w:p>
          <w:p w:rsidR="00842543" w:rsidRDefault="008E3B65">
            <w:pPr>
              <w:pStyle w:val="SCCLsocPartyRole"/>
            </w:pPr>
            <w:r>
              <w:t>Applicant</w:t>
            </w:r>
            <w:r>
              <w:br/>
            </w:r>
          </w:p>
          <w:p w:rsidR="00842543" w:rsidRDefault="008E3B65">
            <w:pPr>
              <w:pStyle w:val="SCCLsocVersus"/>
            </w:pPr>
            <w:r>
              <w:t>- and -</w:t>
            </w:r>
            <w:r>
              <w:br/>
            </w:r>
          </w:p>
          <w:p w:rsidR="00842543" w:rsidRDefault="008E3B65">
            <w:pPr>
              <w:pStyle w:val="SCCLsocParty"/>
            </w:pPr>
            <w:r>
              <w:t>Her Majesty the Queen</w:t>
            </w:r>
            <w:r>
              <w:br/>
            </w:r>
          </w:p>
          <w:p w:rsidR="00842543" w:rsidRDefault="008E3B6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42543" w:rsidRPr="008E3B65" w:rsidRDefault="008E3B65">
            <w:pPr>
              <w:pStyle w:val="SCCLsocPrefix"/>
              <w:rPr>
                <w:lang w:val="fr-FR"/>
              </w:rPr>
            </w:pPr>
            <w:r w:rsidRPr="008E3B65">
              <w:rPr>
                <w:lang w:val="fr-FR"/>
              </w:rPr>
              <w:t>ENTRE :</w:t>
            </w:r>
            <w:r w:rsidRPr="008E3B65">
              <w:rPr>
                <w:lang w:val="fr-FR"/>
              </w:rPr>
              <w:br/>
            </w:r>
          </w:p>
          <w:p w:rsidR="00842543" w:rsidRPr="008E3B65" w:rsidRDefault="008E3B65">
            <w:pPr>
              <w:pStyle w:val="SCCLsocParty"/>
              <w:rPr>
                <w:lang w:val="fr-FR"/>
              </w:rPr>
            </w:pPr>
            <w:r w:rsidRPr="008E3B65">
              <w:rPr>
                <w:lang w:val="fr-FR"/>
              </w:rPr>
              <w:t>Urszula Krzyz</w:t>
            </w:r>
            <w:r w:rsidRPr="008E3B65">
              <w:rPr>
                <w:lang w:val="fr-FR"/>
              </w:rPr>
              <w:br/>
            </w:r>
          </w:p>
          <w:p w:rsidR="00842543" w:rsidRPr="008E3B65" w:rsidRDefault="008E3B6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8E3B65">
              <w:rPr>
                <w:lang w:val="fr-FR"/>
              </w:rPr>
              <w:br/>
            </w:r>
          </w:p>
          <w:p w:rsidR="00842543" w:rsidRPr="008E3B65" w:rsidRDefault="008E3B65">
            <w:pPr>
              <w:pStyle w:val="SCCLsocVersus"/>
              <w:rPr>
                <w:lang w:val="fr-FR"/>
              </w:rPr>
            </w:pPr>
            <w:r w:rsidRPr="008E3B65">
              <w:rPr>
                <w:lang w:val="fr-FR"/>
              </w:rPr>
              <w:t>- et -</w:t>
            </w:r>
            <w:r w:rsidRPr="008E3B65">
              <w:rPr>
                <w:lang w:val="fr-FR"/>
              </w:rPr>
              <w:br/>
            </w:r>
          </w:p>
          <w:p w:rsidR="00842543" w:rsidRPr="008E3B65" w:rsidRDefault="008E3B65">
            <w:pPr>
              <w:pStyle w:val="SCCLsocParty"/>
              <w:rPr>
                <w:lang w:val="fr-FR"/>
              </w:rPr>
            </w:pPr>
            <w:r w:rsidRPr="008E3B65">
              <w:rPr>
                <w:lang w:val="fr-FR"/>
              </w:rPr>
              <w:t>Sa Majesté la Reine</w:t>
            </w:r>
            <w:r w:rsidRPr="008E3B65">
              <w:rPr>
                <w:lang w:val="fr-FR"/>
              </w:rPr>
              <w:br/>
            </w:r>
          </w:p>
          <w:p w:rsidR="00842543" w:rsidRPr="00E370E8" w:rsidRDefault="008E3B65">
            <w:pPr>
              <w:pStyle w:val="SCCLsocPartyRole"/>
              <w:rPr>
                <w:lang w:val="fr-FR"/>
              </w:rPr>
            </w:pPr>
            <w:r w:rsidRPr="00E370E8">
              <w:rPr>
                <w:lang w:val="fr-FR"/>
              </w:rPr>
              <w:t>Intimée</w:t>
            </w:r>
          </w:p>
        </w:tc>
      </w:tr>
      <w:tr w:rsidR="00824412" w:rsidRPr="00096F9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370E8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370E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370E8" w:rsidRDefault="00824412" w:rsidP="00B408F8">
            <w:pPr>
              <w:rPr>
                <w:lang w:val="fr-FR"/>
              </w:rPr>
            </w:pPr>
          </w:p>
        </w:tc>
      </w:tr>
      <w:tr w:rsidR="00824412" w:rsidRPr="00096F9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E3B65" w:rsidP="00D11440">
            <w:pPr>
              <w:jc w:val="both"/>
            </w:pPr>
            <w:r>
              <w:t xml:space="preserve">The motion for an extension of time to serve and file the application for leave to appeal is granted.  The motion for interim relief is dismissed.  </w:t>
            </w: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BA0768">
              <w:t>15-A-</w:t>
            </w:r>
            <w:r w:rsidR="00D11440">
              <w:t>9, dated April 14, 2015</w:t>
            </w:r>
            <w:r>
              <w:t>,</w:t>
            </w:r>
            <w:r w:rsidRPr="006E7BAE">
              <w:t xml:space="preserve"> is </w:t>
            </w:r>
            <w:r>
              <w:t>dismissed for want of jurisdiction.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E3B65" w:rsidP="00D1144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</w:t>
            </w:r>
            <w:r w:rsidR="00BF01C7">
              <w:rPr>
                <w:lang w:val="fr-CA"/>
              </w:rPr>
              <w:t>accueillie</w:t>
            </w:r>
            <w:r>
              <w:rPr>
                <w:lang w:val="fr-CA"/>
              </w:rPr>
              <w:t>.  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</w:t>
            </w:r>
            <w:r w:rsidRPr="008921A5">
              <w:rPr>
                <w:lang w:val="fr-CA"/>
              </w:rPr>
              <w:t>mesure provisoire est rejet</w:t>
            </w:r>
            <w:r w:rsidRPr="008921A5">
              <w:rPr>
                <w:rFonts w:cs="Times New Roman"/>
                <w:lang w:val="fr-CA"/>
              </w:rPr>
              <w:t>é</w:t>
            </w:r>
            <w:r w:rsidRPr="008921A5">
              <w:rPr>
                <w:lang w:val="fr-CA"/>
              </w:rPr>
              <w:t>e.</w:t>
            </w:r>
            <w:r>
              <w:rPr>
                <w:lang w:val="fr-CA"/>
              </w:rPr>
              <w:t xml:space="preserve">  </w:t>
            </w: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133CB9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D11440">
              <w:rPr>
                <w:lang w:val="fr-FR"/>
              </w:rPr>
              <w:t>15-A-9, dat</w:t>
            </w:r>
            <w:r w:rsidR="00D11440">
              <w:rPr>
                <w:rFonts w:cs="Times New Roman"/>
                <w:lang w:val="fr-FR"/>
              </w:rPr>
              <w:t>é</w:t>
            </w:r>
            <w:r w:rsidR="000D339B">
              <w:rPr>
                <w:lang w:val="fr-FR"/>
              </w:rPr>
              <w:t xml:space="preserve"> du 14 avril</w:t>
            </w:r>
            <w:r w:rsidR="00D11440">
              <w:rPr>
                <w:lang w:val="fr-FR"/>
              </w:rPr>
              <w:t xml:space="preserve"> 2015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</w:t>
            </w:r>
            <w:r w:rsidR="00D11440">
              <w:rPr>
                <w:lang w:val="fr-CA"/>
              </w:rPr>
              <w:t>pour d</w:t>
            </w:r>
            <w:r w:rsidR="00D11440">
              <w:rPr>
                <w:rFonts w:cs="Times New Roman"/>
                <w:lang w:val="fr-CA"/>
              </w:rPr>
              <w:t>é</w:t>
            </w:r>
            <w:r w:rsidR="00D11440">
              <w:rPr>
                <w:lang w:val="fr-CA"/>
              </w:rPr>
              <w:t>faut d</w:t>
            </w:r>
            <w:r>
              <w:rPr>
                <w:lang w:val="fr-CA"/>
              </w:rPr>
              <w:t>e comp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tence.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E370E8" w:rsidRPr="00D83B8C" w:rsidRDefault="00E370E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E3B6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51" w:rsidRDefault="00600751">
      <w:r>
        <w:separator/>
      </w:r>
    </w:p>
  </w:endnote>
  <w:endnote w:type="continuationSeparator" w:id="0">
    <w:p w:rsidR="00600751" w:rsidRDefault="0060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51" w:rsidRDefault="00600751">
      <w:r>
        <w:separator/>
      </w:r>
    </w:p>
  </w:footnote>
  <w:footnote w:type="continuationSeparator" w:id="0">
    <w:p w:rsidR="00600751" w:rsidRDefault="0060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3B6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1539"/>
    <w:rsid w:val="00074657"/>
    <w:rsid w:val="000846B0"/>
    <w:rsid w:val="00091327"/>
    <w:rsid w:val="000919B4"/>
    <w:rsid w:val="00096F9C"/>
    <w:rsid w:val="000B4AA7"/>
    <w:rsid w:val="000B76FF"/>
    <w:rsid w:val="000D339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541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075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543"/>
    <w:rsid w:val="0086042A"/>
    <w:rsid w:val="008763A3"/>
    <w:rsid w:val="008813BC"/>
    <w:rsid w:val="00895263"/>
    <w:rsid w:val="008A0569"/>
    <w:rsid w:val="008A153F"/>
    <w:rsid w:val="008E3B6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0768"/>
    <w:rsid w:val="00BC39BE"/>
    <w:rsid w:val="00BD4E4C"/>
    <w:rsid w:val="00BF01C7"/>
    <w:rsid w:val="00BF7644"/>
    <w:rsid w:val="00C1285B"/>
    <w:rsid w:val="00C173B0"/>
    <w:rsid w:val="00C17F71"/>
    <w:rsid w:val="00C2612E"/>
    <w:rsid w:val="00CE249F"/>
    <w:rsid w:val="00CF17D0"/>
    <w:rsid w:val="00D07DAA"/>
    <w:rsid w:val="00D11440"/>
    <w:rsid w:val="00D30961"/>
    <w:rsid w:val="00D42339"/>
    <w:rsid w:val="00D61AC2"/>
    <w:rsid w:val="00D83B8C"/>
    <w:rsid w:val="00DA4281"/>
    <w:rsid w:val="00DB1ADC"/>
    <w:rsid w:val="00E12A51"/>
    <w:rsid w:val="00E370E8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2015-10-30T18:49:00Z</dcterms:created>
  <dcterms:modified xsi:type="dcterms:W3CDTF">2015-10-30T18:49:00Z</dcterms:modified>
</cp:coreProperties>
</file>