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B45D4" w:rsidP="008262A3">
            <w:r>
              <w:t>December 10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B45D4">
            <w:pPr>
              <w:rPr>
                <w:lang w:val="en-US"/>
              </w:rPr>
            </w:pPr>
            <w:r>
              <w:t xml:space="preserve">Le </w:t>
            </w:r>
            <w:r w:rsidR="008B45D4">
              <w:t>10 décembre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2E0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45D4">
              <w:rPr>
                <w:lang w:val="fr-CA"/>
              </w:rPr>
              <w:t>Les juges Cromwell, Wagner et Brown</w:t>
            </w:r>
          </w:p>
        </w:tc>
      </w:tr>
      <w:tr w:rsidR="00C2612E" w:rsidRPr="00552E0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B45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B45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B45D4" w:rsidTr="00C173B0">
        <w:tc>
          <w:tcPr>
            <w:tcW w:w="2269" w:type="pct"/>
          </w:tcPr>
          <w:p w:rsidR="00C2189C" w:rsidRDefault="008B45D4">
            <w:pPr>
              <w:pStyle w:val="SCCLsocPrefix"/>
            </w:pPr>
            <w:r>
              <w:t>BETWEEN:</w:t>
            </w:r>
            <w:r>
              <w:br/>
            </w:r>
          </w:p>
          <w:p w:rsidR="00C2189C" w:rsidRDefault="008B45D4">
            <w:pPr>
              <w:pStyle w:val="SCCLsocParty"/>
            </w:pPr>
            <w:r>
              <w:t>E.L.</w:t>
            </w:r>
            <w:r>
              <w:br/>
            </w:r>
          </w:p>
          <w:p w:rsidR="00C2189C" w:rsidRDefault="008B45D4">
            <w:pPr>
              <w:pStyle w:val="SCCLsocPartyRole"/>
            </w:pPr>
            <w:r>
              <w:t>Applicant</w:t>
            </w:r>
            <w:r>
              <w:br/>
            </w:r>
          </w:p>
          <w:p w:rsidR="00C2189C" w:rsidRDefault="008B45D4">
            <w:pPr>
              <w:pStyle w:val="SCCLsocVersus"/>
            </w:pPr>
            <w:r>
              <w:t>- and -</w:t>
            </w:r>
            <w:r>
              <w:br/>
            </w:r>
          </w:p>
          <w:p w:rsidR="00C2189C" w:rsidRDefault="008B45D4">
            <w:pPr>
              <w:pStyle w:val="SCCLsocParty"/>
            </w:pPr>
            <w:r>
              <w:t>G.B.</w:t>
            </w:r>
            <w:r>
              <w:br/>
            </w:r>
          </w:p>
          <w:p w:rsidR="00C2189C" w:rsidRDefault="008B45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2189C" w:rsidRPr="008B45D4" w:rsidRDefault="008B45D4">
            <w:pPr>
              <w:pStyle w:val="SCCLsocPrefix"/>
              <w:rPr>
                <w:lang w:val="fr-CA"/>
              </w:rPr>
            </w:pPr>
            <w:r w:rsidRPr="008B45D4">
              <w:rPr>
                <w:lang w:val="fr-CA"/>
              </w:rPr>
              <w:t>ENTRE :</w:t>
            </w:r>
            <w:r w:rsidRPr="008B45D4">
              <w:rPr>
                <w:lang w:val="fr-CA"/>
              </w:rPr>
              <w:br/>
            </w:r>
          </w:p>
          <w:p w:rsidR="00C2189C" w:rsidRPr="008B45D4" w:rsidRDefault="008B45D4">
            <w:pPr>
              <w:pStyle w:val="SCCLsocParty"/>
              <w:rPr>
                <w:lang w:val="fr-CA"/>
              </w:rPr>
            </w:pPr>
            <w:r w:rsidRPr="008B45D4">
              <w:rPr>
                <w:lang w:val="fr-CA"/>
              </w:rPr>
              <w:t>E.L.</w:t>
            </w:r>
            <w:r w:rsidRPr="008B45D4">
              <w:rPr>
                <w:lang w:val="fr-CA"/>
              </w:rPr>
              <w:br/>
            </w:r>
          </w:p>
          <w:p w:rsidR="00C2189C" w:rsidRDefault="008B45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:rsidR="008B45D4" w:rsidRPr="008B45D4" w:rsidRDefault="008B45D4" w:rsidP="008B45D4">
            <w:pPr>
              <w:rPr>
                <w:lang w:val="fr-CA"/>
              </w:rPr>
            </w:pPr>
          </w:p>
          <w:p w:rsidR="00C2189C" w:rsidRPr="008B45D4" w:rsidRDefault="008B45D4">
            <w:pPr>
              <w:pStyle w:val="SCCLsocVersus"/>
              <w:rPr>
                <w:lang w:val="fr-CA"/>
              </w:rPr>
            </w:pPr>
            <w:r w:rsidRPr="008B45D4">
              <w:rPr>
                <w:lang w:val="fr-CA"/>
              </w:rPr>
              <w:t>- et -</w:t>
            </w:r>
            <w:r w:rsidRPr="008B45D4">
              <w:rPr>
                <w:lang w:val="fr-CA"/>
              </w:rPr>
              <w:br/>
            </w:r>
          </w:p>
          <w:p w:rsidR="00C2189C" w:rsidRPr="008B45D4" w:rsidRDefault="008B45D4">
            <w:pPr>
              <w:pStyle w:val="SCCLsocParty"/>
              <w:rPr>
                <w:lang w:val="fr-CA"/>
              </w:rPr>
            </w:pPr>
            <w:r w:rsidRPr="008B45D4">
              <w:rPr>
                <w:lang w:val="fr-CA"/>
              </w:rPr>
              <w:t>G.B.</w:t>
            </w:r>
            <w:r w:rsidRPr="008B45D4">
              <w:rPr>
                <w:lang w:val="fr-CA"/>
              </w:rPr>
              <w:br/>
            </w:r>
          </w:p>
          <w:p w:rsidR="00C2189C" w:rsidRPr="008B45D4" w:rsidRDefault="008B45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8B45D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B45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B45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B45D4" w:rsidRDefault="00824412" w:rsidP="00B408F8">
            <w:pPr>
              <w:rPr>
                <w:lang w:val="fr-CA"/>
              </w:rPr>
            </w:pPr>
          </w:p>
        </w:tc>
      </w:tr>
      <w:tr w:rsidR="00824412" w:rsidRPr="00552E0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B45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>
              <w:t>200-09-008250-141</w:t>
            </w:r>
            <w:r w:rsidRPr="006E7BAE">
              <w:t>,</w:t>
            </w:r>
            <w:r w:rsidR="00552E0B">
              <w:t xml:space="preserve"> 2014 QCCA 1112,</w:t>
            </w:r>
            <w:r w:rsidRPr="006E7BAE">
              <w:t xml:space="preserve"> dated </w:t>
            </w:r>
            <w:r>
              <w:t>June 25, 2015</w:t>
            </w:r>
            <w:r w:rsidR="008B45D4">
              <w:t>,</w:t>
            </w:r>
            <w:r w:rsidRPr="006E7BAE">
              <w:t xml:space="preserve"> is </w:t>
            </w:r>
            <w:r w:rsidR="008B45D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B45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45D4">
              <w:rPr>
                <w:lang w:val="fr-CA"/>
              </w:rPr>
              <w:t>Cour d’appel du Québec (Québec)</w:t>
            </w:r>
            <w:r w:rsidRPr="006E7BAE">
              <w:rPr>
                <w:lang w:val="fr-CA"/>
              </w:rPr>
              <w:t xml:space="preserve">, numéro </w:t>
            </w:r>
            <w:r w:rsidRPr="008B45D4">
              <w:rPr>
                <w:lang w:val="fr-CA"/>
              </w:rPr>
              <w:t>200-09-008250-141</w:t>
            </w:r>
            <w:r w:rsidRPr="006E7BAE">
              <w:rPr>
                <w:lang w:val="fr-CA"/>
              </w:rPr>
              <w:t>,</w:t>
            </w:r>
            <w:r w:rsidR="00552E0B">
              <w:rPr>
                <w:lang w:val="fr-CA"/>
              </w:rPr>
              <w:t xml:space="preserve"> 2014 QCCA 1112,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45D4">
              <w:rPr>
                <w:lang w:val="fr-CA"/>
              </w:rPr>
              <w:t>25 juin 2015</w:t>
            </w:r>
            <w:r w:rsidR="008B45D4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52E0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2E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4FB2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2E0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45D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89C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2015-12-09T16:45:00Z</dcterms:created>
  <dcterms:modified xsi:type="dcterms:W3CDTF">2015-12-09T16:45:00Z</dcterms:modified>
</cp:coreProperties>
</file>