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36728</w:t>
      </w:r>
      <w:r w:rsidR="0016666F" w:rsidRPr="006E7BAE">
        <w:t>     </w:t>
      </w:r>
    </w:p>
    <w:p w:rsidR="002568D3" w:rsidRPr="006E7BAE" w:rsidRDefault="002568D3" w:rsidP="00382FEC"/>
    <w:tbl>
      <w:tblPr>
        <w:tblW w:w="5073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85"/>
        <w:gridCol w:w="713"/>
        <w:gridCol w:w="4399"/>
      </w:tblGrid>
      <w:tr w:rsidR="00417FB7" w:rsidRPr="006E7BAE" w:rsidTr="00001B3A">
        <w:tc>
          <w:tcPr>
            <w:tcW w:w="2308" w:type="pct"/>
          </w:tcPr>
          <w:p w:rsidR="00417FB7" w:rsidRPr="006E7BAE" w:rsidRDefault="00001B3A" w:rsidP="008262A3">
            <w:r>
              <w:t>April 21</w:t>
            </w:r>
            <w:r w:rsidR="00B328CD">
              <w:t>, 2016</w:t>
            </w:r>
          </w:p>
        </w:tc>
        <w:tc>
          <w:tcPr>
            <w:tcW w:w="375" w:type="pct"/>
          </w:tcPr>
          <w:p w:rsidR="00417FB7" w:rsidRPr="006E7BAE" w:rsidRDefault="00417FB7" w:rsidP="00382FEC"/>
        </w:tc>
        <w:tc>
          <w:tcPr>
            <w:tcW w:w="2316" w:type="pct"/>
          </w:tcPr>
          <w:p w:rsidR="00417FB7" w:rsidRPr="00D83B8C" w:rsidRDefault="00001B3A" w:rsidP="00816B78">
            <w:pPr>
              <w:rPr>
                <w:lang w:val="en-US"/>
              </w:rPr>
            </w:pPr>
            <w:r>
              <w:t xml:space="preserve">Le 21 </w:t>
            </w:r>
            <w:proofErr w:type="spellStart"/>
            <w:r>
              <w:t>avril</w:t>
            </w:r>
            <w:proofErr w:type="spellEnd"/>
            <w:r w:rsidR="00B328CD">
              <w:t xml:space="preserve"> 2016</w:t>
            </w:r>
          </w:p>
        </w:tc>
      </w:tr>
      <w:tr w:rsidR="00E12A51" w:rsidRPr="006E7BAE" w:rsidTr="00001B3A">
        <w:tc>
          <w:tcPr>
            <w:tcW w:w="2308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75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16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431AD" w:rsidTr="00001B3A">
        <w:tc>
          <w:tcPr>
            <w:tcW w:w="2308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75" w:type="pct"/>
          </w:tcPr>
          <w:p w:rsidR="00417FB7" w:rsidRPr="006E7BAE" w:rsidRDefault="00417FB7" w:rsidP="00382FEC"/>
        </w:tc>
        <w:tc>
          <w:tcPr>
            <w:tcW w:w="2316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01B3A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E431AD" w:rsidTr="00001B3A">
        <w:tc>
          <w:tcPr>
            <w:tcW w:w="2308" w:type="pct"/>
            <w:tcMar>
              <w:top w:w="0" w:type="dxa"/>
              <w:bottom w:w="0" w:type="dxa"/>
            </w:tcMar>
          </w:tcPr>
          <w:p w:rsidR="00C2612E" w:rsidRPr="00001B3A" w:rsidRDefault="00C2612E" w:rsidP="008262A3">
            <w:pPr>
              <w:rPr>
                <w:lang w:val="fr-FR"/>
              </w:rPr>
            </w:pPr>
          </w:p>
        </w:tc>
        <w:tc>
          <w:tcPr>
            <w:tcW w:w="375" w:type="pct"/>
            <w:tcMar>
              <w:top w:w="0" w:type="dxa"/>
              <w:bottom w:w="0" w:type="dxa"/>
            </w:tcMar>
          </w:tcPr>
          <w:p w:rsidR="00C2612E" w:rsidRPr="00001B3A" w:rsidRDefault="00C2612E" w:rsidP="00382FEC">
            <w:pPr>
              <w:rPr>
                <w:lang w:val="fr-FR"/>
              </w:rPr>
            </w:pPr>
          </w:p>
        </w:tc>
        <w:tc>
          <w:tcPr>
            <w:tcW w:w="2316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001B3A">
        <w:tc>
          <w:tcPr>
            <w:tcW w:w="2308" w:type="pct"/>
          </w:tcPr>
          <w:p w:rsidR="00B41127" w:rsidRDefault="009B0F2F">
            <w:pPr>
              <w:pStyle w:val="SCCLsocPrefix"/>
            </w:pPr>
            <w:r>
              <w:t>BETWEEN:</w:t>
            </w:r>
            <w:r>
              <w:br/>
            </w:r>
          </w:p>
          <w:p w:rsidR="00B41127" w:rsidRDefault="006B7AC7">
            <w:pPr>
              <w:pStyle w:val="SCCLsocParty"/>
            </w:pPr>
            <w:proofErr w:type="spellStart"/>
            <w:r>
              <w:t>Altalink</w:t>
            </w:r>
            <w:proofErr w:type="spellEnd"/>
            <w:r>
              <w:t xml:space="preserve"> Management Ltd., in its capacity as general partner of </w:t>
            </w:r>
            <w:proofErr w:type="spellStart"/>
            <w:r>
              <w:t>Altalink</w:t>
            </w:r>
            <w:proofErr w:type="spellEnd"/>
            <w:r>
              <w:t xml:space="preserve">, L.P., </w:t>
            </w:r>
            <w:proofErr w:type="spellStart"/>
            <w:r w:rsidR="009B0F2F">
              <w:t>Enmax</w:t>
            </w:r>
            <w:proofErr w:type="spellEnd"/>
            <w:r w:rsidR="009B0F2F">
              <w:t xml:space="preserve"> Power Corporation</w:t>
            </w:r>
            <w:r>
              <w:t xml:space="preserve"> and EPCOR Distribution &amp; Transmission Inc.</w:t>
            </w:r>
            <w:r w:rsidR="009B0F2F">
              <w:br/>
            </w:r>
          </w:p>
          <w:p w:rsidR="00B41127" w:rsidRDefault="009B0F2F">
            <w:pPr>
              <w:pStyle w:val="SCCLsocPartyRole"/>
            </w:pPr>
            <w:r>
              <w:t>Applicant</w:t>
            </w:r>
            <w:r w:rsidR="006B7AC7">
              <w:t>s</w:t>
            </w:r>
            <w:r>
              <w:br/>
            </w:r>
          </w:p>
          <w:p w:rsidR="00B41127" w:rsidRDefault="009B0F2F">
            <w:pPr>
              <w:pStyle w:val="SCCLsocVersus"/>
            </w:pPr>
            <w:r>
              <w:t>- and -</w:t>
            </w:r>
            <w:r>
              <w:br/>
            </w:r>
          </w:p>
          <w:p w:rsidR="00B41127" w:rsidRDefault="00001B3A">
            <w:pPr>
              <w:pStyle w:val="SCCLsocParty"/>
            </w:pPr>
            <w:r>
              <w:t>Alberta Utilities Commission and</w:t>
            </w:r>
            <w:r w:rsidR="009B0F2F">
              <w:t xml:space="preserve"> Office of the Utilities Consumer Advocate of Alberta</w:t>
            </w:r>
            <w:r w:rsidR="009B0F2F">
              <w:br/>
            </w:r>
          </w:p>
          <w:p w:rsidR="00B41127" w:rsidRDefault="009B0F2F">
            <w:pPr>
              <w:pStyle w:val="SCCLsocPartyRole"/>
            </w:pPr>
            <w:r>
              <w:t>Respondents</w:t>
            </w:r>
            <w:r>
              <w:br/>
            </w:r>
          </w:p>
          <w:p w:rsidR="00B41127" w:rsidRDefault="009B0F2F">
            <w:pPr>
              <w:pStyle w:val="SCCLsocSubfileSeparator"/>
            </w:pPr>
            <w:r>
              <w:t>AND BETWEEN:</w:t>
            </w:r>
            <w:r>
              <w:br/>
            </w:r>
          </w:p>
          <w:p w:rsidR="00B41127" w:rsidRDefault="009B0F2F">
            <w:pPr>
              <w:pStyle w:val="SCCLsocParty"/>
            </w:pPr>
            <w:proofErr w:type="spellStart"/>
            <w:r>
              <w:t>Altagas</w:t>
            </w:r>
            <w:proofErr w:type="spellEnd"/>
            <w:r>
              <w:t xml:space="preserve"> Utilities Inc., ATCO Gas and Pip</w:t>
            </w:r>
            <w:r w:rsidR="00001B3A">
              <w:t>elines Ltd., ATCO Electric Ltd. and</w:t>
            </w:r>
            <w:r>
              <w:t xml:space="preserve"> </w:t>
            </w:r>
            <w:proofErr w:type="spellStart"/>
            <w:r>
              <w:t>FortisAlberta</w:t>
            </w:r>
            <w:proofErr w:type="spellEnd"/>
            <w:r>
              <w:t xml:space="preserve"> Inc.</w:t>
            </w:r>
            <w:r>
              <w:br/>
            </w:r>
          </w:p>
          <w:p w:rsidR="00B41127" w:rsidRDefault="009B0F2F">
            <w:pPr>
              <w:pStyle w:val="SCCLsocPartyRole"/>
            </w:pPr>
            <w:r>
              <w:t>Applicants</w:t>
            </w:r>
            <w:r>
              <w:br/>
            </w:r>
          </w:p>
          <w:p w:rsidR="00B41127" w:rsidRDefault="009B0F2F">
            <w:pPr>
              <w:pStyle w:val="SCCLsocVersus"/>
            </w:pPr>
            <w:r>
              <w:t>- and -</w:t>
            </w:r>
            <w:r>
              <w:br/>
            </w:r>
          </w:p>
          <w:p w:rsidR="00B41127" w:rsidRDefault="009B0F2F">
            <w:pPr>
              <w:pStyle w:val="SCCLsocParty"/>
            </w:pPr>
            <w:r>
              <w:lastRenderedPageBreak/>
              <w:t>Alberta Utilities Commission</w:t>
            </w:r>
            <w:r w:rsidR="00001B3A">
              <w:t xml:space="preserve"> and </w:t>
            </w:r>
            <w:r>
              <w:t>Office of the Utilities Consumer Advocate of Alberta</w:t>
            </w:r>
            <w:r>
              <w:br/>
            </w:r>
          </w:p>
          <w:p w:rsidR="00B41127" w:rsidRDefault="009B0F2F">
            <w:pPr>
              <w:pStyle w:val="SCCLsocPartyRole"/>
            </w:pPr>
            <w:r>
              <w:t>Respondents</w:t>
            </w:r>
          </w:p>
        </w:tc>
        <w:tc>
          <w:tcPr>
            <w:tcW w:w="375" w:type="pct"/>
          </w:tcPr>
          <w:p w:rsidR="00824412" w:rsidRPr="006E7BAE" w:rsidRDefault="00824412" w:rsidP="00375294"/>
        </w:tc>
        <w:tc>
          <w:tcPr>
            <w:tcW w:w="2316" w:type="pct"/>
          </w:tcPr>
          <w:p w:rsidR="00B41127" w:rsidRPr="009A511B" w:rsidRDefault="009B0F2F">
            <w:pPr>
              <w:pStyle w:val="SCCLsocPrefix"/>
              <w:rPr>
                <w:lang w:val="fr-CA"/>
              </w:rPr>
            </w:pPr>
            <w:r w:rsidRPr="009A511B">
              <w:rPr>
                <w:lang w:val="fr-CA"/>
              </w:rPr>
              <w:t>ENTRE :</w:t>
            </w:r>
            <w:r w:rsidRPr="009A511B">
              <w:rPr>
                <w:lang w:val="fr-CA"/>
              </w:rPr>
              <w:br/>
            </w:r>
          </w:p>
          <w:p w:rsidR="00B41127" w:rsidRPr="009A511B" w:rsidRDefault="006B7AC7">
            <w:pPr>
              <w:pStyle w:val="SCCLsocParty"/>
              <w:rPr>
                <w:lang w:val="fr-CA"/>
              </w:rPr>
            </w:pPr>
            <w:proofErr w:type="spellStart"/>
            <w:r w:rsidRPr="00D8671B">
              <w:rPr>
                <w:lang w:val="fr-CA"/>
              </w:rPr>
              <w:t>Altalink</w:t>
            </w:r>
            <w:proofErr w:type="spellEnd"/>
            <w:r w:rsidRPr="00D8671B">
              <w:rPr>
                <w:lang w:val="fr-CA"/>
              </w:rPr>
              <w:t xml:space="preserve"> Management Ltd., </w:t>
            </w:r>
            <w:r w:rsidRPr="00ED7CA9">
              <w:rPr>
                <w:lang w:val="fr-CA"/>
              </w:rPr>
              <w:t>en sa qualité de commanditée d’</w:t>
            </w:r>
            <w:proofErr w:type="spellStart"/>
            <w:r w:rsidRPr="00ED7CA9">
              <w:rPr>
                <w:lang w:val="fr-CA"/>
              </w:rPr>
              <w:t>Altalink</w:t>
            </w:r>
            <w:proofErr w:type="spellEnd"/>
            <w:r w:rsidR="00D8671B" w:rsidRPr="00D8671B">
              <w:rPr>
                <w:lang w:val="fr-CA"/>
              </w:rPr>
              <w:t>, L.</w:t>
            </w:r>
            <w:r w:rsidR="00D8671B" w:rsidRPr="009A511B">
              <w:rPr>
                <w:lang w:val="fr-CA"/>
              </w:rPr>
              <w:t>P.</w:t>
            </w:r>
            <w:r w:rsidRPr="00D8671B">
              <w:rPr>
                <w:lang w:val="fr-CA"/>
              </w:rPr>
              <w:t xml:space="preserve">, </w:t>
            </w:r>
            <w:proofErr w:type="spellStart"/>
            <w:r w:rsidR="009B0F2F" w:rsidRPr="009A511B">
              <w:rPr>
                <w:lang w:val="fr-CA"/>
              </w:rPr>
              <w:t>Enmax</w:t>
            </w:r>
            <w:proofErr w:type="spellEnd"/>
            <w:r w:rsidR="009B0F2F" w:rsidRPr="009A511B">
              <w:rPr>
                <w:lang w:val="fr-CA"/>
              </w:rPr>
              <w:t xml:space="preserve"> Power Corporation</w:t>
            </w:r>
            <w:r w:rsidRPr="009A511B">
              <w:rPr>
                <w:lang w:val="fr-CA"/>
              </w:rPr>
              <w:t xml:space="preserve"> et EPCOR Distribution &amp; Transmission Inc.</w:t>
            </w:r>
            <w:r w:rsidR="009B0F2F" w:rsidRPr="009A511B">
              <w:rPr>
                <w:lang w:val="fr-CA"/>
              </w:rPr>
              <w:br/>
            </w:r>
          </w:p>
          <w:p w:rsidR="00B41127" w:rsidRPr="009A511B" w:rsidRDefault="00001B3A">
            <w:pPr>
              <w:pStyle w:val="SCCLsocPartyRole"/>
            </w:pPr>
            <w:r w:rsidRPr="009A511B">
              <w:t>Demanderesse</w:t>
            </w:r>
            <w:r w:rsidR="006B7AC7" w:rsidRPr="009A511B">
              <w:t>s</w:t>
            </w:r>
            <w:r w:rsidR="009B0F2F" w:rsidRPr="009A511B">
              <w:br/>
            </w:r>
          </w:p>
          <w:p w:rsidR="00B41127" w:rsidRPr="009A511B" w:rsidRDefault="009B0F2F">
            <w:pPr>
              <w:pStyle w:val="SCCLsocVersus"/>
            </w:pPr>
            <w:r w:rsidRPr="009A511B">
              <w:t>- et -</w:t>
            </w:r>
            <w:r w:rsidRPr="009A511B">
              <w:br/>
            </w:r>
          </w:p>
          <w:p w:rsidR="00001B3A" w:rsidRPr="006B7AC7" w:rsidRDefault="00001B3A" w:rsidP="00001B3A">
            <w:pPr>
              <w:pStyle w:val="SCCLsocParty"/>
            </w:pPr>
            <w:r>
              <w:t>Alberta Utilities Commission et</w:t>
            </w:r>
            <w:r w:rsidR="009B0F2F">
              <w:t xml:space="preserve"> Office of the Utilities Consumer Advocate of Alberta</w:t>
            </w:r>
            <w:r w:rsidR="009B0F2F">
              <w:br/>
            </w:r>
          </w:p>
          <w:p w:rsidR="00B41127" w:rsidRPr="009A511B" w:rsidRDefault="00001B3A">
            <w:pPr>
              <w:pStyle w:val="SCCLsocPartyRole"/>
              <w:rPr>
                <w:lang w:val="fr-CA"/>
              </w:rPr>
            </w:pPr>
            <w:r w:rsidRPr="009A511B">
              <w:rPr>
                <w:lang w:val="fr-CA"/>
              </w:rPr>
              <w:t>Intimé</w:t>
            </w:r>
            <w:r w:rsidR="009B0F2F" w:rsidRPr="009A511B">
              <w:rPr>
                <w:lang w:val="fr-CA"/>
              </w:rPr>
              <w:t>s</w:t>
            </w:r>
            <w:r w:rsidR="009B0F2F" w:rsidRPr="009A511B">
              <w:rPr>
                <w:lang w:val="fr-CA"/>
              </w:rPr>
              <w:br/>
            </w:r>
          </w:p>
          <w:p w:rsidR="00B41127" w:rsidRPr="009A511B" w:rsidRDefault="009B0F2F">
            <w:pPr>
              <w:pStyle w:val="SCCLsocSubfileSeparator"/>
              <w:rPr>
                <w:lang w:val="fr-CA"/>
              </w:rPr>
            </w:pPr>
            <w:r w:rsidRPr="009A511B">
              <w:rPr>
                <w:lang w:val="fr-CA"/>
              </w:rPr>
              <w:t>ET ENTRE :</w:t>
            </w:r>
            <w:r w:rsidRPr="009A511B">
              <w:rPr>
                <w:lang w:val="fr-CA"/>
              </w:rPr>
              <w:br/>
            </w:r>
          </w:p>
          <w:p w:rsidR="00B41127" w:rsidRPr="009A511B" w:rsidRDefault="009B0F2F">
            <w:pPr>
              <w:pStyle w:val="SCCLsocParty"/>
              <w:rPr>
                <w:lang w:val="fr-CA"/>
              </w:rPr>
            </w:pPr>
            <w:proofErr w:type="spellStart"/>
            <w:r w:rsidRPr="009A511B">
              <w:rPr>
                <w:lang w:val="fr-CA"/>
              </w:rPr>
              <w:t>Altagas</w:t>
            </w:r>
            <w:proofErr w:type="spellEnd"/>
            <w:r w:rsidRPr="009A511B">
              <w:rPr>
                <w:lang w:val="fr-CA"/>
              </w:rPr>
              <w:t xml:space="preserve"> Utilities Inc., ATCO </w:t>
            </w:r>
            <w:proofErr w:type="spellStart"/>
            <w:r w:rsidRPr="009A511B">
              <w:rPr>
                <w:lang w:val="fr-CA"/>
              </w:rPr>
              <w:t>Gas</w:t>
            </w:r>
            <w:proofErr w:type="spellEnd"/>
            <w:r w:rsidRPr="009A511B">
              <w:rPr>
                <w:lang w:val="fr-CA"/>
              </w:rPr>
              <w:t xml:space="preserve"> and Pip</w:t>
            </w:r>
            <w:r w:rsidR="00001B3A" w:rsidRPr="009A511B">
              <w:rPr>
                <w:lang w:val="fr-CA"/>
              </w:rPr>
              <w:t>elines Ltd., ATCO Electric Ltd. et</w:t>
            </w:r>
            <w:r w:rsidRPr="009A511B">
              <w:rPr>
                <w:lang w:val="fr-CA"/>
              </w:rPr>
              <w:t xml:space="preserve"> </w:t>
            </w:r>
            <w:proofErr w:type="spellStart"/>
            <w:r w:rsidRPr="009A511B">
              <w:rPr>
                <w:lang w:val="fr-CA"/>
              </w:rPr>
              <w:t>FortisAlberta</w:t>
            </w:r>
            <w:proofErr w:type="spellEnd"/>
            <w:r w:rsidRPr="009A511B">
              <w:rPr>
                <w:lang w:val="fr-CA"/>
              </w:rPr>
              <w:t xml:space="preserve"> Inc.</w:t>
            </w:r>
            <w:r w:rsidRPr="009A511B">
              <w:rPr>
                <w:lang w:val="fr-CA"/>
              </w:rPr>
              <w:br/>
            </w:r>
          </w:p>
          <w:p w:rsidR="00B41127" w:rsidRPr="009A511B" w:rsidRDefault="00001B3A">
            <w:pPr>
              <w:pStyle w:val="SCCLsocPartyRole"/>
              <w:rPr>
                <w:lang w:val="fr-CA"/>
              </w:rPr>
            </w:pPr>
            <w:r w:rsidRPr="009A511B">
              <w:rPr>
                <w:lang w:val="fr-CA"/>
              </w:rPr>
              <w:t>Demanderesse</w:t>
            </w:r>
            <w:r w:rsidR="009B0F2F" w:rsidRPr="009A511B">
              <w:rPr>
                <w:lang w:val="fr-CA"/>
              </w:rPr>
              <w:t>s</w:t>
            </w:r>
            <w:r w:rsidR="009B0F2F" w:rsidRPr="009A511B">
              <w:rPr>
                <w:lang w:val="fr-CA"/>
              </w:rPr>
              <w:br/>
            </w:r>
          </w:p>
          <w:p w:rsidR="00B41127" w:rsidRPr="009A511B" w:rsidRDefault="009B0F2F">
            <w:pPr>
              <w:pStyle w:val="SCCLsocVersus"/>
              <w:rPr>
                <w:lang w:val="fr-CA"/>
              </w:rPr>
            </w:pPr>
            <w:r w:rsidRPr="009A511B">
              <w:rPr>
                <w:lang w:val="fr-CA"/>
              </w:rPr>
              <w:t>- et -</w:t>
            </w:r>
            <w:r w:rsidRPr="009A511B">
              <w:rPr>
                <w:lang w:val="fr-CA"/>
              </w:rPr>
              <w:br/>
            </w:r>
          </w:p>
          <w:p w:rsidR="00B41127" w:rsidRDefault="009B0F2F">
            <w:pPr>
              <w:pStyle w:val="SCCLsocParty"/>
            </w:pPr>
            <w:r>
              <w:lastRenderedPageBreak/>
              <w:t>Alberta Utilities Commission</w:t>
            </w:r>
            <w:r w:rsidR="00001B3A">
              <w:t xml:space="preserve"> et </w:t>
            </w:r>
            <w:r>
              <w:t>Office of the Utilities Consumer Advocate of Alberta</w:t>
            </w:r>
            <w:r>
              <w:br/>
            </w:r>
          </w:p>
          <w:p w:rsidR="00B41127" w:rsidRDefault="00001B3A">
            <w:pPr>
              <w:pStyle w:val="SCCLsocPartyRole"/>
            </w:pPr>
            <w:r>
              <w:t>Intimé</w:t>
            </w:r>
            <w:r w:rsidR="009B0F2F">
              <w:t>s</w:t>
            </w:r>
          </w:p>
        </w:tc>
      </w:tr>
      <w:tr w:rsidR="00824412" w:rsidRPr="006E7BAE" w:rsidTr="00001B3A">
        <w:tc>
          <w:tcPr>
            <w:tcW w:w="2308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75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16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431AD" w:rsidTr="00001B3A">
        <w:tc>
          <w:tcPr>
            <w:tcW w:w="2308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001B3A" w:rsidP="00AD61CC">
            <w:pPr>
              <w:jc w:val="both"/>
            </w:pPr>
            <w:r>
              <w:t xml:space="preserve">The motion </w:t>
            </w:r>
            <w:r w:rsidR="006B7AC7">
              <w:t xml:space="preserve">by </w:t>
            </w:r>
            <w:proofErr w:type="spellStart"/>
            <w:r w:rsidR="006B7AC7">
              <w:t>Altagas</w:t>
            </w:r>
            <w:proofErr w:type="spellEnd"/>
            <w:r w:rsidR="006B7AC7">
              <w:t xml:space="preserve"> Utilities Inc., ATCO Gas and Pipelines Ltd., ATCO Electric Ltd. and </w:t>
            </w:r>
            <w:proofErr w:type="spellStart"/>
            <w:r w:rsidR="006B7AC7">
              <w:t>FortisAlberta</w:t>
            </w:r>
            <w:proofErr w:type="spellEnd"/>
            <w:r w:rsidR="006B7AC7">
              <w:t xml:space="preserve"> Inc. </w:t>
            </w:r>
            <w:r>
              <w:t xml:space="preserve">for an extension of time to serve the application for leave to appeal is granted. </w:t>
            </w:r>
            <w:r w:rsidR="00824412" w:rsidRPr="006E7BAE">
              <w:t>The app</w:t>
            </w:r>
            <w:r w:rsidR="00011960" w:rsidRPr="006E7BAE">
              <w:t>lication</w:t>
            </w:r>
            <w:r w:rsidR="006B7AC7">
              <w:t>s</w:t>
            </w:r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 w:rsidR="00824412">
              <w:t>1301-</w:t>
            </w:r>
            <w:r>
              <w:t>0361-AC, 1301-0369-AC and</w:t>
            </w:r>
            <w:r w:rsidR="00824412">
              <w:t xml:space="preserve"> 1301-0370-AC, </w:t>
            </w:r>
            <w:r w:rsidR="006B7AC7">
              <w:t>and Numbers 1301-0363-AC, 1301-0365-AC, 1301-0366-AC and 1301-03</w:t>
            </w:r>
            <w:r w:rsidR="00AD61CC">
              <w:t>67</w:t>
            </w:r>
            <w:r w:rsidR="006B7AC7">
              <w:t xml:space="preserve">-AC, </w:t>
            </w:r>
            <w:r w:rsidR="00824412">
              <w:t>2015 ABCA 295</w:t>
            </w:r>
            <w:r w:rsidR="00824412" w:rsidRPr="006E7BAE">
              <w:t xml:space="preserve">, dated </w:t>
            </w:r>
            <w:r w:rsidR="00824412">
              <w:t>September 18, 2015</w:t>
            </w:r>
            <w:r w:rsidR="00ED7CA9">
              <w:t>,</w:t>
            </w:r>
            <w:r w:rsidR="00824412" w:rsidRPr="006E7BAE">
              <w:t xml:space="preserve"> </w:t>
            </w:r>
            <w:r w:rsidR="006B7AC7">
              <w:t>are</w:t>
            </w:r>
            <w:r w:rsidR="006B7AC7" w:rsidRPr="006E7BAE">
              <w:t xml:space="preserve"> </w:t>
            </w:r>
            <w:r>
              <w:t>dismissed with no order</w:t>
            </w:r>
            <w:r w:rsidR="006B7AC7">
              <w:t>s</w:t>
            </w:r>
            <w:r>
              <w:t xml:space="preserve"> as to costs.</w:t>
            </w:r>
          </w:p>
        </w:tc>
        <w:tc>
          <w:tcPr>
            <w:tcW w:w="375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16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Default="00001B3A" w:rsidP="009B0F2F">
            <w:pPr>
              <w:jc w:val="both"/>
              <w:rPr>
                <w:lang w:val="fr-CA"/>
              </w:rPr>
            </w:pPr>
            <w:r w:rsidRPr="00001B3A">
              <w:rPr>
                <w:lang w:val="fr-CA"/>
              </w:rPr>
              <w:t>La requ</w:t>
            </w:r>
            <w:r w:rsidRPr="00001B3A">
              <w:rPr>
                <w:rFonts w:cs="Times New Roman"/>
                <w:lang w:val="fr-CA"/>
              </w:rPr>
              <w:t>ê</w:t>
            </w:r>
            <w:r w:rsidRPr="00001B3A">
              <w:rPr>
                <w:lang w:val="fr-CA"/>
              </w:rPr>
              <w:t xml:space="preserve">te </w:t>
            </w:r>
            <w:r w:rsidR="006B7AC7">
              <w:rPr>
                <w:lang w:val="fr-CA"/>
              </w:rPr>
              <w:t xml:space="preserve">de </w:t>
            </w:r>
            <w:proofErr w:type="spellStart"/>
            <w:r w:rsidR="006B7AC7" w:rsidRPr="009A511B">
              <w:rPr>
                <w:lang w:val="fr-CA"/>
              </w:rPr>
              <w:t>Altagas</w:t>
            </w:r>
            <w:proofErr w:type="spellEnd"/>
            <w:r w:rsidR="006B7AC7" w:rsidRPr="009A511B">
              <w:rPr>
                <w:lang w:val="fr-CA"/>
              </w:rPr>
              <w:t xml:space="preserve"> Utilities Inc., ATCO </w:t>
            </w:r>
            <w:proofErr w:type="spellStart"/>
            <w:r w:rsidR="006B7AC7" w:rsidRPr="009A511B">
              <w:rPr>
                <w:lang w:val="fr-CA"/>
              </w:rPr>
              <w:t>Gas</w:t>
            </w:r>
            <w:proofErr w:type="spellEnd"/>
            <w:r w:rsidR="006B7AC7" w:rsidRPr="009A511B">
              <w:rPr>
                <w:lang w:val="fr-CA"/>
              </w:rPr>
              <w:t xml:space="preserve"> and Pipelines Ltd., ATCO Electric Ltd. et </w:t>
            </w:r>
            <w:proofErr w:type="spellStart"/>
            <w:r w:rsidR="006B7AC7" w:rsidRPr="009A511B">
              <w:rPr>
                <w:lang w:val="fr-CA"/>
              </w:rPr>
              <w:t>FortisAlberta</w:t>
            </w:r>
            <w:proofErr w:type="spellEnd"/>
            <w:r w:rsidR="006B7AC7" w:rsidRPr="009A511B">
              <w:rPr>
                <w:lang w:val="fr-CA"/>
              </w:rPr>
              <w:t xml:space="preserve"> Inc.</w:t>
            </w:r>
            <w:r w:rsidR="002E3DB5">
              <w:rPr>
                <w:lang w:val="fr-CA"/>
              </w:rPr>
              <w:t xml:space="preserve"> </w:t>
            </w:r>
            <w:r w:rsidRPr="00001B3A">
              <w:rPr>
                <w:lang w:val="fr-CA"/>
              </w:rPr>
              <w:t>en prorogation du d</w:t>
            </w:r>
            <w:r w:rsidRPr="00001B3A">
              <w:rPr>
                <w:rFonts w:cs="Times New Roman"/>
                <w:lang w:val="fr-CA"/>
              </w:rPr>
              <w:t>é</w:t>
            </w:r>
            <w:r w:rsidRPr="00001B3A">
              <w:rPr>
                <w:lang w:val="fr-CA"/>
              </w:rPr>
              <w:t>lai de signification de la demande d’autori</w:t>
            </w:r>
            <w:r>
              <w:rPr>
                <w:lang w:val="fr-CA"/>
              </w:rPr>
              <w:t xml:space="preserve">sation d’appel est accueillie. </w:t>
            </w:r>
            <w:r w:rsidR="00824412" w:rsidRPr="006E7BAE">
              <w:rPr>
                <w:lang w:val="fr-CA"/>
              </w:rPr>
              <w:t>L</w:t>
            </w:r>
            <w:r w:rsidR="006B7AC7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6B7AC7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01B3A">
              <w:rPr>
                <w:lang w:val="fr-FR"/>
              </w:rPr>
              <w:t>Cour d'appel de l’Alberta (Calgary)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01B3A">
              <w:rPr>
                <w:lang w:val="fr-FR"/>
              </w:rPr>
              <w:t>1301-0361-AC, 1301-0369-AC</w:t>
            </w:r>
            <w:r>
              <w:rPr>
                <w:lang w:val="fr-FR"/>
              </w:rPr>
              <w:t xml:space="preserve"> et</w:t>
            </w:r>
            <w:r w:rsidR="00824412" w:rsidRPr="00001B3A">
              <w:rPr>
                <w:lang w:val="fr-FR"/>
              </w:rPr>
              <w:t xml:space="preserve"> 1301-0370-AC</w:t>
            </w:r>
            <w:r w:rsidR="006B7AC7">
              <w:rPr>
                <w:lang w:val="fr-FR"/>
              </w:rPr>
              <w:t xml:space="preserve"> et numéros </w:t>
            </w:r>
            <w:r w:rsidR="00D34C5A">
              <w:rPr>
                <w:lang w:val="fr-FR"/>
              </w:rPr>
              <w:t>1</w:t>
            </w:r>
            <w:r w:rsidR="006B7AC7" w:rsidRPr="009A511B">
              <w:rPr>
                <w:lang w:val="fr-CA"/>
              </w:rPr>
              <w:t>301-0363-AC, 1301-0365-AC, 1301-0366-AC et 1301-03</w:t>
            </w:r>
            <w:r w:rsidR="00AD61CC">
              <w:rPr>
                <w:lang w:val="fr-CA"/>
              </w:rPr>
              <w:t>67</w:t>
            </w:r>
            <w:r w:rsidR="006B7AC7" w:rsidRPr="009A511B">
              <w:rPr>
                <w:lang w:val="fr-CA"/>
              </w:rPr>
              <w:t>-AC,</w:t>
            </w:r>
            <w:r w:rsidR="00824412" w:rsidRPr="00001B3A">
              <w:rPr>
                <w:lang w:val="fr-FR"/>
              </w:rPr>
              <w:t xml:space="preserve"> 2015 ABCA 295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6B7AC7">
              <w:rPr>
                <w:lang w:val="fr-CA"/>
              </w:rPr>
              <w:t xml:space="preserve"> </w:t>
            </w:r>
            <w:r w:rsidR="00824412" w:rsidRPr="00001B3A">
              <w:rPr>
                <w:lang w:val="fr-FR"/>
              </w:rPr>
              <w:t>18 septembre 2015</w:t>
            </w:r>
            <w:r w:rsidR="00824412" w:rsidRPr="006E7BAE">
              <w:rPr>
                <w:lang w:val="fr-CA"/>
              </w:rPr>
              <w:t xml:space="preserve">, </w:t>
            </w:r>
            <w:r w:rsidR="002E3DB5">
              <w:rPr>
                <w:lang w:val="fr-CA"/>
              </w:rPr>
              <w:t>sont</w:t>
            </w:r>
            <w:r w:rsidR="002E3DB5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</w:t>
            </w:r>
            <w:r w:rsidR="002E3DB5">
              <w:rPr>
                <w:lang w:val="fr-CA"/>
              </w:rPr>
              <w:t>s</w:t>
            </w:r>
            <w:r>
              <w:rPr>
                <w:lang w:val="fr-CA"/>
              </w:rPr>
              <w:t xml:space="preserve"> sans ordonnance</w:t>
            </w:r>
            <w:r w:rsidR="002E3DB5">
              <w:rPr>
                <w:lang w:val="fr-CA"/>
              </w:rPr>
              <w:t>s</w:t>
            </w:r>
            <w:r>
              <w:rPr>
                <w:lang w:val="fr-CA"/>
              </w:rPr>
              <w:t xml:space="preserve"> quant aux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</w:p>
          <w:p w:rsidR="009B0F2F" w:rsidRDefault="009B0F2F" w:rsidP="009B0F2F">
            <w:pPr>
              <w:jc w:val="both"/>
              <w:rPr>
                <w:lang w:val="fr-CA"/>
              </w:rPr>
            </w:pPr>
          </w:p>
          <w:p w:rsidR="009B0F2F" w:rsidRDefault="009B0F2F" w:rsidP="009B0F2F">
            <w:pPr>
              <w:jc w:val="both"/>
              <w:rPr>
                <w:lang w:val="fr-CA"/>
              </w:rPr>
            </w:pPr>
          </w:p>
          <w:p w:rsidR="009B0F2F" w:rsidRPr="006E7BAE" w:rsidRDefault="009B0F2F" w:rsidP="009B0F2F">
            <w:pPr>
              <w:jc w:val="both"/>
              <w:rPr>
                <w:lang w:val="fr-CA"/>
              </w:rPr>
            </w:pP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8F53F3" w:rsidRDefault="00ED7CA9" w:rsidP="00417FB7">
      <w:pPr>
        <w:jc w:val="center"/>
        <w:rPr>
          <w:lang w:val="fr-CA"/>
        </w:rPr>
      </w:pPr>
      <w:r>
        <w:rPr>
          <w:lang w:val="fr-CA"/>
        </w:rPr>
        <w:t>C.J.C.</w:t>
      </w:r>
    </w:p>
    <w:p w:rsidR="00ED7CA9" w:rsidRPr="00A252FA" w:rsidRDefault="00ED7CA9" w:rsidP="00417FB7">
      <w:pPr>
        <w:jc w:val="center"/>
        <w:rPr>
          <w:lang w:val="fr-CA"/>
        </w:rPr>
      </w:pPr>
      <w:r>
        <w:rPr>
          <w:lang w:val="fr-CA"/>
        </w:rPr>
        <w:t>J.C.C.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01B3A">
      <w:headerReference w:type="default" r:id="rId7"/>
      <w:pgSz w:w="12240" w:h="15840"/>
      <w:pgMar w:top="1584" w:right="1440" w:bottom="1584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431A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36728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1B3A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A659E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3DB5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3687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B7AC7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A511B"/>
    <w:rsid w:val="009B0F2F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D61CC"/>
    <w:rsid w:val="00AE2077"/>
    <w:rsid w:val="00B158E3"/>
    <w:rsid w:val="00B328CD"/>
    <w:rsid w:val="00B408F8"/>
    <w:rsid w:val="00B41127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34C5A"/>
    <w:rsid w:val="00D42339"/>
    <w:rsid w:val="00D61AC2"/>
    <w:rsid w:val="00D83B8C"/>
    <w:rsid w:val="00D8671B"/>
    <w:rsid w:val="00DA4281"/>
    <w:rsid w:val="00DB1ADC"/>
    <w:rsid w:val="00E12A51"/>
    <w:rsid w:val="00E431AD"/>
    <w:rsid w:val="00E736B9"/>
    <w:rsid w:val="00E777AD"/>
    <w:rsid w:val="00EA4B61"/>
    <w:rsid w:val="00ED7CA9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EDE1D-06E0-4CFB-8279-46A4D708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2016-04-20T15:30:00Z</dcterms:created>
  <dcterms:modified xsi:type="dcterms:W3CDTF">2016-04-20T15:30:00Z</dcterms:modified>
</cp:coreProperties>
</file>