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A44B" w14:textId="77777777" w:rsidR="009F436C" w:rsidRDefault="009F436C" w:rsidP="00382FEC"/>
    <w:p w14:paraId="0C31A44C" w14:textId="77777777" w:rsidR="00EF4EF2" w:rsidRPr="001E26DB" w:rsidRDefault="00EF4EF2" w:rsidP="00382FEC"/>
    <w:p w14:paraId="0C31A44D" w14:textId="77777777" w:rsidR="009F436C" w:rsidRPr="001E26DB" w:rsidRDefault="009F436C" w:rsidP="00382FEC"/>
    <w:p w14:paraId="0C31A44E" w14:textId="77777777" w:rsidR="009F436C" w:rsidRDefault="009F436C" w:rsidP="00382FEC"/>
    <w:p w14:paraId="0C31A44F" w14:textId="77777777" w:rsidR="002C29B6" w:rsidRDefault="002C29B6" w:rsidP="00382FEC"/>
    <w:p w14:paraId="0C31A450" w14:textId="77777777" w:rsidR="002C29B6" w:rsidRDefault="002C29B6" w:rsidP="00382FEC"/>
    <w:p w14:paraId="0C31A451" w14:textId="77777777" w:rsidR="0076003F" w:rsidRDefault="0076003F" w:rsidP="00382FEC"/>
    <w:p w14:paraId="0C31A452" w14:textId="77777777" w:rsidR="002C29B6" w:rsidRDefault="002C29B6" w:rsidP="00382FEC"/>
    <w:p w14:paraId="0C31A453" w14:textId="77777777" w:rsidR="009F436C" w:rsidRPr="001E26DB" w:rsidRDefault="009F436C" w:rsidP="00382FEC"/>
    <w:p w14:paraId="0C31A454" w14:textId="77777777" w:rsidR="009F436C" w:rsidRPr="001E26DB" w:rsidRDefault="009F436C" w:rsidP="00382FEC"/>
    <w:p w14:paraId="0C31A45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36869</w:t>
      </w:r>
      <w:r w:rsidR="00E81C0B" w:rsidRPr="001E26DB">
        <w:t>     </w:t>
      </w:r>
    </w:p>
    <w:p w14:paraId="0C31A456" w14:textId="77777777" w:rsidR="009F436C" w:rsidRPr="001E26DB" w:rsidRDefault="009F436C" w:rsidP="00382FEC"/>
    <w:p w14:paraId="0C31A45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C31A45B" w14:textId="77777777" w:rsidTr="00B37A52">
        <w:tc>
          <w:tcPr>
            <w:tcW w:w="2269" w:type="pct"/>
          </w:tcPr>
          <w:p w14:paraId="0C31A458" w14:textId="53257D0B" w:rsidR="00417FB7" w:rsidRPr="001E26DB" w:rsidRDefault="006475C8" w:rsidP="00723601">
            <w:r>
              <w:t xml:space="preserve">Le </w:t>
            </w:r>
            <w:r w:rsidR="00723601">
              <w:t>3</w:t>
            </w:r>
            <w:r>
              <w:t xml:space="preserve"> </w:t>
            </w:r>
            <w:r w:rsidR="00723601">
              <w:t>nove</w:t>
            </w:r>
            <w:r w:rsidR="005A11D3">
              <w:t>mbre</w:t>
            </w:r>
            <w:r>
              <w:t xml:space="preserve"> 2016</w:t>
            </w:r>
          </w:p>
        </w:tc>
        <w:tc>
          <w:tcPr>
            <w:tcW w:w="381" w:type="pct"/>
          </w:tcPr>
          <w:p w14:paraId="0C31A459" w14:textId="77777777" w:rsidR="00417FB7" w:rsidRPr="001E26DB" w:rsidRDefault="00417FB7" w:rsidP="00382FEC"/>
        </w:tc>
        <w:tc>
          <w:tcPr>
            <w:tcW w:w="2350" w:type="pct"/>
          </w:tcPr>
          <w:p w14:paraId="0C31A45A" w14:textId="257117BA" w:rsidR="00417FB7" w:rsidRPr="001E26DB" w:rsidRDefault="00723601" w:rsidP="00723601">
            <w:pPr>
              <w:rPr>
                <w:lang w:val="en-CA"/>
              </w:rPr>
            </w:pPr>
            <w:r>
              <w:t>November 3,</w:t>
            </w:r>
            <w:r w:rsidR="006475C8">
              <w:t xml:space="preserve"> 2016</w:t>
            </w:r>
          </w:p>
        </w:tc>
      </w:tr>
      <w:tr w:rsidR="00E12A51" w:rsidRPr="00F67F03" w14:paraId="0C31A45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C31A45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31A45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31A45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A0124" w14:paraId="0C31A463" w14:textId="77777777" w:rsidTr="00B37A52">
        <w:tc>
          <w:tcPr>
            <w:tcW w:w="2269" w:type="pct"/>
          </w:tcPr>
          <w:p w14:paraId="0C31A460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0C31A461" w14:textId="77777777" w:rsidR="00417FB7" w:rsidRPr="001E26DB" w:rsidRDefault="00417FB7" w:rsidP="00382FEC"/>
        </w:tc>
        <w:tc>
          <w:tcPr>
            <w:tcW w:w="2350" w:type="pct"/>
          </w:tcPr>
          <w:p w14:paraId="0C31A462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A11D3">
              <w:rPr>
                <w:lang w:val="en-CA"/>
              </w:rPr>
              <w:t>Abella, Karakatsanis and Brown JJ.</w:t>
            </w:r>
          </w:p>
        </w:tc>
      </w:tr>
      <w:tr w:rsidR="00C2612E" w:rsidRPr="007A0124" w14:paraId="0C31A46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C31A464" w14:textId="77777777" w:rsidR="00C2612E" w:rsidRPr="005A11D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31A465" w14:textId="77777777" w:rsidR="00C2612E" w:rsidRPr="005A11D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31A46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C31A489" w14:textId="77777777" w:rsidTr="006A1E6D">
        <w:tc>
          <w:tcPr>
            <w:tcW w:w="2269" w:type="pct"/>
          </w:tcPr>
          <w:p w14:paraId="0C31A468" w14:textId="77777777" w:rsidR="00053B82" w:rsidRDefault="004D7F84">
            <w:pPr>
              <w:pStyle w:val="SCCLsocPrefix"/>
            </w:pPr>
            <w:r>
              <w:t>ENTRE :</w:t>
            </w:r>
            <w:r>
              <w:br/>
            </w:r>
          </w:p>
          <w:p w14:paraId="0C31A469" w14:textId="77777777" w:rsidR="00053B82" w:rsidRDefault="004D7F84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0C31A46A" w14:textId="77777777" w:rsidR="00053B82" w:rsidRDefault="004D7F84">
            <w:pPr>
              <w:pStyle w:val="SCCLsocPartyRole"/>
            </w:pPr>
            <w:r>
              <w:t>Demandeur</w:t>
            </w:r>
            <w:r>
              <w:br/>
            </w:r>
          </w:p>
          <w:p w14:paraId="0C31A46B" w14:textId="77777777" w:rsidR="00053B82" w:rsidRDefault="004D7F84">
            <w:pPr>
              <w:pStyle w:val="SCCLsocVersus"/>
            </w:pPr>
            <w:r>
              <w:t>- et -</w:t>
            </w:r>
            <w:r>
              <w:br/>
            </w:r>
          </w:p>
          <w:p w14:paraId="0C31A46C" w14:textId="14600868" w:rsidR="00053B82" w:rsidRDefault="00F17613">
            <w:pPr>
              <w:pStyle w:val="SCCLsocParty"/>
            </w:pPr>
            <w:r>
              <w:t>Daniel Thouin et</w:t>
            </w:r>
            <w:r w:rsidR="004D7F84">
              <w:t xml:space="preserve"> Association pour la protection automobile</w:t>
            </w:r>
            <w:r w:rsidR="004D7F84">
              <w:br/>
            </w:r>
          </w:p>
          <w:p w14:paraId="0C31A46D" w14:textId="77777777" w:rsidR="00053B82" w:rsidRDefault="004D7F84">
            <w:pPr>
              <w:pStyle w:val="SCCLsocPartyRole"/>
            </w:pPr>
            <w:r>
              <w:t>Intimés</w:t>
            </w:r>
            <w:r>
              <w:br/>
            </w:r>
          </w:p>
          <w:p w14:paraId="0C31A46E" w14:textId="77777777" w:rsidR="00053B82" w:rsidRDefault="004D7F84">
            <w:pPr>
              <w:pStyle w:val="SCCLsocSubfileSeparator"/>
            </w:pPr>
            <w:r>
              <w:t>ET ENTRE :</w:t>
            </w:r>
            <w:r>
              <w:br/>
            </w:r>
          </w:p>
          <w:p w14:paraId="6E6660AA" w14:textId="00BA5CFA" w:rsidR="00D22B2D" w:rsidRDefault="00911B51">
            <w:pPr>
              <w:pStyle w:val="SCCLsocParty"/>
            </w:pPr>
            <w:r>
              <w:t xml:space="preserve">Ultramar ltée, Groupe Pétrolier Olco inc., Pétroles Irving inc., Alimentation Couche-Tard inc., Dépan-Escompte Couche-Tard inc., Couche-Tard inc., Pétroles Cadrin inc., Pétroles Global inc., Pétroles Global (Québec) inc., Philippe Gosselin &amp; Associés </w:t>
            </w:r>
            <w:r w:rsidR="009810AC">
              <w:t>limitée</w:t>
            </w:r>
            <w:r>
              <w:t xml:space="preserve">, Céline Bonin, Carole Aubut, Claude Bédard et Daniel </w:t>
            </w:r>
          </w:p>
          <w:p w14:paraId="7AE7FBB7" w14:textId="77777777" w:rsidR="00D22B2D" w:rsidRDefault="00911B51" w:rsidP="00D22B2D">
            <w:pPr>
              <w:pStyle w:val="SCCLsocParty"/>
            </w:pPr>
            <w:r>
              <w:t>Drouin</w:t>
            </w:r>
            <w:r w:rsidR="003F5288">
              <w:t xml:space="preserve"> </w:t>
            </w:r>
            <w:r w:rsidR="004D7F84">
              <w:br/>
            </w:r>
          </w:p>
          <w:p w14:paraId="0C31A470" w14:textId="30B0A08E" w:rsidR="00053B82" w:rsidRDefault="005A11D3" w:rsidP="00D22B2D">
            <w:pPr>
              <w:pStyle w:val="SCCLsocParty"/>
            </w:pPr>
            <w:r>
              <w:t>Demande</w:t>
            </w:r>
            <w:r w:rsidR="007C1235">
              <w:t>ur</w:t>
            </w:r>
            <w:r>
              <w:t>s</w:t>
            </w:r>
            <w:r w:rsidR="004D7F84">
              <w:br/>
            </w:r>
          </w:p>
          <w:p w14:paraId="0C31A471" w14:textId="77777777" w:rsidR="00053B82" w:rsidRDefault="004D7F84">
            <w:pPr>
              <w:pStyle w:val="SCCLsocVersus"/>
            </w:pPr>
            <w:r>
              <w:lastRenderedPageBreak/>
              <w:t>- et -</w:t>
            </w:r>
            <w:r>
              <w:br/>
            </w:r>
          </w:p>
          <w:p w14:paraId="0C31A472" w14:textId="0B2DB2E2" w:rsidR="00053B82" w:rsidRDefault="00911B51">
            <w:pPr>
              <w:pStyle w:val="SCCLsocParty"/>
            </w:pPr>
            <w:r>
              <w:t>Daniel Thouin et Association pour la protection automobile</w:t>
            </w:r>
            <w:r w:rsidR="004D7F84">
              <w:br/>
            </w:r>
          </w:p>
          <w:p w14:paraId="0C31A476" w14:textId="488BB342" w:rsidR="00053B82" w:rsidRDefault="007A23E7" w:rsidP="005A11D3">
            <w:pPr>
              <w:pStyle w:val="SCCLsocPartyRole"/>
            </w:pPr>
            <w:r>
              <w:t>Intimé</w:t>
            </w:r>
            <w:r w:rsidR="00DE535C">
              <w:t>s</w:t>
            </w:r>
            <w:r w:rsidR="004D7F84">
              <w:br/>
            </w:r>
          </w:p>
        </w:tc>
        <w:tc>
          <w:tcPr>
            <w:tcW w:w="381" w:type="pct"/>
          </w:tcPr>
          <w:p w14:paraId="0C31A47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C31A478" w14:textId="77777777" w:rsidR="00053B82" w:rsidRPr="005A11D3" w:rsidRDefault="004D7F84">
            <w:pPr>
              <w:pStyle w:val="SCCLsocPrefix"/>
              <w:rPr>
                <w:lang w:val="en-CA"/>
              </w:rPr>
            </w:pPr>
            <w:r w:rsidRPr="005A11D3">
              <w:rPr>
                <w:lang w:val="en-CA"/>
              </w:rPr>
              <w:t>BETWEEN:</w:t>
            </w:r>
            <w:r w:rsidRPr="005A11D3">
              <w:rPr>
                <w:lang w:val="en-CA"/>
              </w:rPr>
              <w:br/>
            </w:r>
          </w:p>
          <w:p w14:paraId="0C31A479" w14:textId="77777777" w:rsidR="00053B82" w:rsidRPr="005A11D3" w:rsidRDefault="004D7F84">
            <w:pPr>
              <w:pStyle w:val="SCCLsocParty"/>
              <w:rPr>
                <w:lang w:val="en-CA"/>
              </w:rPr>
            </w:pPr>
            <w:r w:rsidRPr="005A11D3">
              <w:rPr>
                <w:lang w:val="en-CA"/>
              </w:rPr>
              <w:t>Attorney General of Canada</w:t>
            </w:r>
            <w:r w:rsidRPr="005A11D3">
              <w:rPr>
                <w:lang w:val="en-CA"/>
              </w:rPr>
              <w:br/>
            </w:r>
          </w:p>
          <w:p w14:paraId="0C31A47A" w14:textId="77777777" w:rsidR="00053B82" w:rsidRPr="005A11D3" w:rsidRDefault="004D7F84">
            <w:pPr>
              <w:pStyle w:val="SCCLsocPartyRole"/>
              <w:rPr>
                <w:lang w:val="en-CA"/>
              </w:rPr>
            </w:pPr>
            <w:r w:rsidRPr="005A11D3">
              <w:rPr>
                <w:lang w:val="en-CA"/>
              </w:rPr>
              <w:t>Applicant</w:t>
            </w:r>
            <w:r w:rsidRPr="005A11D3">
              <w:rPr>
                <w:lang w:val="en-CA"/>
              </w:rPr>
              <w:br/>
            </w:r>
          </w:p>
          <w:p w14:paraId="0C31A47B" w14:textId="77777777" w:rsidR="00053B82" w:rsidRPr="005A11D3" w:rsidRDefault="004D7F84">
            <w:pPr>
              <w:pStyle w:val="SCCLsocVersus"/>
              <w:rPr>
                <w:lang w:val="en-CA"/>
              </w:rPr>
            </w:pPr>
            <w:r w:rsidRPr="005A11D3">
              <w:rPr>
                <w:lang w:val="en-CA"/>
              </w:rPr>
              <w:t>- and -</w:t>
            </w:r>
            <w:r w:rsidRPr="005A11D3">
              <w:rPr>
                <w:lang w:val="en-CA"/>
              </w:rPr>
              <w:br/>
            </w:r>
          </w:p>
          <w:p w14:paraId="0C31A47C" w14:textId="05FFD174" w:rsidR="00053B82" w:rsidRPr="005A11D3" w:rsidRDefault="004D7F84">
            <w:pPr>
              <w:pStyle w:val="SCCLsocParty"/>
              <w:rPr>
                <w:lang w:val="en-CA"/>
              </w:rPr>
            </w:pPr>
            <w:r w:rsidRPr="005A11D3">
              <w:rPr>
                <w:lang w:val="en-CA"/>
              </w:rPr>
              <w:t>Daniel Thouin</w:t>
            </w:r>
            <w:r w:rsidR="00F17613">
              <w:rPr>
                <w:lang w:val="en-CA"/>
              </w:rPr>
              <w:t xml:space="preserve"> and</w:t>
            </w:r>
            <w:r w:rsidRPr="005A11D3">
              <w:rPr>
                <w:lang w:val="en-CA"/>
              </w:rPr>
              <w:t xml:space="preserve"> Automobile Protection Association</w:t>
            </w:r>
            <w:r w:rsidRPr="005A11D3">
              <w:rPr>
                <w:lang w:val="en-CA"/>
              </w:rPr>
              <w:br/>
            </w:r>
          </w:p>
          <w:p w14:paraId="0C31A47D" w14:textId="77777777" w:rsidR="00053B82" w:rsidRPr="005A11D3" w:rsidRDefault="004D7F84">
            <w:pPr>
              <w:pStyle w:val="SCCLsocPartyRole"/>
              <w:rPr>
                <w:lang w:val="en-CA"/>
              </w:rPr>
            </w:pPr>
            <w:r w:rsidRPr="005A11D3">
              <w:rPr>
                <w:lang w:val="en-CA"/>
              </w:rPr>
              <w:t>Respondents</w:t>
            </w:r>
            <w:r w:rsidRPr="005A11D3">
              <w:rPr>
                <w:lang w:val="en-CA"/>
              </w:rPr>
              <w:br/>
            </w:r>
          </w:p>
          <w:p w14:paraId="0C31A47E" w14:textId="77777777" w:rsidR="00053B82" w:rsidRPr="005A11D3" w:rsidRDefault="004D7F84">
            <w:pPr>
              <w:pStyle w:val="SCCLsocSubfileSeparator"/>
              <w:rPr>
                <w:lang w:val="en-CA"/>
              </w:rPr>
            </w:pPr>
            <w:r w:rsidRPr="005A11D3">
              <w:rPr>
                <w:lang w:val="en-CA"/>
              </w:rPr>
              <w:t>AND BETWEEN:</w:t>
            </w:r>
            <w:r w:rsidRPr="005A11D3">
              <w:rPr>
                <w:lang w:val="en-CA"/>
              </w:rPr>
              <w:br/>
            </w:r>
          </w:p>
          <w:p w14:paraId="0C31A480" w14:textId="2B91B15E" w:rsidR="005A11D3" w:rsidRPr="00F17613" w:rsidRDefault="00911B51" w:rsidP="00911B51">
            <w:pPr>
              <w:pStyle w:val="SCCLsocParty"/>
            </w:pPr>
            <w:r>
              <w:t>Ultramar Ltd</w:t>
            </w:r>
            <w:r w:rsidR="00DB3A9E">
              <w:t>.</w:t>
            </w:r>
            <w:r>
              <w:t xml:space="preserve">, </w:t>
            </w:r>
            <w:r w:rsidR="009810AC" w:rsidRPr="009810AC">
              <w:t>Olco Petrolum Group ULC</w:t>
            </w:r>
            <w:r>
              <w:t xml:space="preserve">., Irving Oil Operations Ltd., Alimentation Couche-Tard </w:t>
            </w:r>
            <w:r w:rsidR="00D26110">
              <w:t>i</w:t>
            </w:r>
            <w:r>
              <w:t>n</w:t>
            </w:r>
            <w:r w:rsidR="00D26110">
              <w:t>c., Dépan-Escompte Couche-Tard inc., Couche-Tard inc., Pétroles Cadrin i</w:t>
            </w:r>
            <w:r>
              <w:t>nc., Global Fuels Inc., Global Fuels (Québec) Inc., Philippe Gosseli</w:t>
            </w:r>
            <w:r w:rsidR="00D26110">
              <w:t xml:space="preserve">n &amp; Associés </w:t>
            </w:r>
            <w:r w:rsidR="009810AC">
              <w:t>limitée</w:t>
            </w:r>
            <w:r>
              <w:t xml:space="preserve">, Céline Bonin, Carole Aubut, Claude Bédard </w:t>
            </w:r>
            <w:r w:rsidR="00DB3A9E">
              <w:t>and</w:t>
            </w:r>
            <w:r>
              <w:t xml:space="preserve"> Daniel Drouin</w:t>
            </w:r>
            <w:r w:rsidR="004D7F84">
              <w:br/>
            </w:r>
          </w:p>
          <w:p w14:paraId="0C31A481" w14:textId="77777777" w:rsidR="00053B82" w:rsidRPr="005A11D3" w:rsidRDefault="004D7F84">
            <w:pPr>
              <w:pStyle w:val="SCCLsocPartyRole"/>
              <w:rPr>
                <w:lang w:val="en-CA"/>
              </w:rPr>
            </w:pPr>
            <w:r w:rsidRPr="005A11D3">
              <w:rPr>
                <w:lang w:val="en-CA"/>
              </w:rPr>
              <w:t>Applicants</w:t>
            </w:r>
            <w:r w:rsidRPr="005A11D3">
              <w:rPr>
                <w:lang w:val="en-CA"/>
              </w:rPr>
              <w:br/>
            </w:r>
          </w:p>
          <w:p w14:paraId="0C31A482" w14:textId="77777777" w:rsidR="00053B82" w:rsidRPr="005A11D3" w:rsidRDefault="004D7F84">
            <w:pPr>
              <w:pStyle w:val="SCCLsocVersus"/>
              <w:rPr>
                <w:lang w:val="en-CA"/>
              </w:rPr>
            </w:pPr>
            <w:r w:rsidRPr="005A11D3">
              <w:rPr>
                <w:lang w:val="en-CA"/>
              </w:rPr>
              <w:lastRenderedPageBreak/>
              <w:t>- and -</w:t>
            </w:r>
            <w:r w:rsidRPr="005A11D3">
              <w:rPr>
                <w:lang w:val="en-CA"/>
              </w:rPr>
              <w:br/>
            </w:r>
          </w:p>
          <w:p w14:paraId="0C31A483" w14:textId="4C0AEA1B" w:rsidR="00053B82" w:rsidRPr="005A11D3" w:rsidRDefault="004D7F84">
            <w:pPr>
              <w:pStyle w:val="SCCLsocParty"/>
              <w:rPr>
                <w:lang w:val="en-CA"/>
              </w:rPr>
            </w:pPr>
            <w:r w:rsidRPr="005A11D3">
              <w:rPr>
                <w:lang w:val="en-CA"/>
              </w:rPr>
              <w:t xml:space="preserve"> </w:t>
            </w:r>
            <w:r w:rsidR="00911B51" w:rsidRPr="005A11D3">
              <w:rPr>
                <w:lang w:val="en-CA"/>
              </w:rPr>
              <w:t>Daniel Thouin</w:t>
            </w:r>
            <w:r w:rsidR="00911B51">
              <w:rPr>
                <w:lang w:val="en-CA"/>
              </w:rPr>
              <w:t xml:space="preserve"> and</w:t>
            </w:r>
            <w:r w:rsidR="00911B51" w:rsidRPr="005A11D3">
              <w:rPr>
                <w:lang w:val="en-CA"/>
              </w:rPr>
              <w:t xml:space="preserve"> Automobile Protection Association</w:t>
            </w:r>
            <w:r w:rsidRPr="005A11D3">
              <w:rPr>
                <w:lang w:val="en-CA"/>
              </w:rPr>
              <w:br/>
            </w:r>
          </w:p>
          <w:p w14:paraId="0C31A488" w14:textId="3268C198" w:rsidR="00053B82" w:rsidRDefault="007A23E7" w:rsidP="00911B51">
            <w:pPr>
              <w:pStyle w:val="SCCLsocPartyRole"/>
            </w:pPr>
            <w:r>
              <w:t>Respondent</w:t>
            </w:r>
            <w:r w:rsidR="00DE535C">
              <w:t>s</w:t>
            </w:r>
            <w:r w:rsidR="004D7F84">
              <w:br/>
            </w:r>
          </w:p>
        </w:tc>
      </w:tr>
      <w:tr w:rsidR="00824412" w:rsidRPr="00F67F03" w14:paraId="0C31A48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C31A48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31A48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31A48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A0124" w14:paraId="0C31A495" w14:textId="77777777" w:rsidTr="00B37A52">
        <w:tc>
          <w:tcPr>
            <w:tcW w:w="2269" w:type="pct"/>
          </w:tcPr>
          <w:p w14:paraId="0C31A48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C31A48F" w14:textId="77777777" w:rsidR="0027081E" w:rsidRPr="001E26DB" w:rsidRDefault="0027081E" w:rsidP="0027081E">
            <w:pPr>
              <w:jc w:val="center"/>
            </w:pPr>
          </w:p>
          <w:p w14:paraId="0C31A490" w14:textId="03EAA4BB" w:rsidR="00824412" w:rsidRPr="001E26DB" w:rsidRDefault="00C96EB9" w:rsidP="00DB3A9E">
            <w:pPr>
              <w:jc w:val="both"/>
            </w:pPr>
            <w:r>
              <w:t>Les requêtes d</w:t>
            </w:r>
            <w:r w:rsidR="00911B51">
              <w:t>’</w:t>
            </w:r>
            <w:r>
              <w:t xml:space="preserve">Ultramar </w:t>
            </w:r>
            <w:r w:rsidR="008C4325">
              <w:t>l</w:t>
            </w:r>
            <w:r w:rsidRPr="00C96EB9">
              <w:t>tée</w:t>
            </w:r>
            <w:r w:rsidR="00DE535C">
              <w:t>,</w:t>
            </w:r>
            <w:r w:rsidR="00911B51">
              <w:t xml:space="preserve"> et al.</w:t>
            </w:r>
            <w:r>
              <w:t xml:space="preserve"> en prorogation du délai </w:t>
            </w:r>
            <w:r w:rsidR="00911B51">
              <w:t>pour</w:t>
            </w:r>
            <w:r>
              <w:t xml:space="preserve"> signification et</w:t>
            </w:r>
            <w:r w:rsidR="00911B51">
              <w:t xml:space="preserve"> </w:t>
            </w:r>
            <w:r>
              <w:t>dépôt de la demande d’a</w:t>
            </w:r>
            <w:r w:rsidR="00D26110">
              <w:t xml:space="preserve">utorisation d’appel, pour </w:t>
            </w:r>
            <w:r>
              <w:t>accélérer la demande d’autorisation d’appel et pour joindre deux dossiers de cette Cour sont accueillies.</w:t>
            </w:r>
            <w:r w:rsidR="00DB3A9E">
              <w:t xml:space="preserve"> </w:t>
            </w:r>
            <w:r w:rsidR="00836977">
              <w:t xml:space="preserve">La requête en révision d’une ordonnance du registraire est rejetée. </w:t>
            </w:r>
            <w:r w:rsidR="00723601" w:rsidRPr="001E26DB">
              <w:t>L</w:t>
            </w:r>
            <w:r w:rsidR="00723601">
              <w:t>es</w:t>
            </w:r>
            <w:r w:rsidR="00723601" w:rsidRPr="001E26DB">
              <w:t xml:space="preserve"> </w:t>
            </w:r>
            <w:r w:rsidR="0027081E" w:rsidRPr="001E26DB">
              <w:t>demande</w:t>
            </w:r>
            <w:r w:rsidR="00723601"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du Québec (Québec)</w:t>
            </w:r>
            <w:r w:rsidR="0027081E" w:rsidRPr="001E26DB">
              <w:t>, numéro</w:t>
            </w:r>
            <w:r w:rsidR="00325DD7">
              <w:t>s</w:t>
            </w:r>
            <w:r w:rsidR="0027081E" w:rsidRPr="001E26DB">
              <w:t xml:space="preserve"> </w:t>
            </w:r>
            <w:r w:rsidR="0027081E">
              <w:t>200-09-009011-153</w:t>
            </w:r>
            <w:r w:rsidR="004D7F84">
              <w:t xml:space="preserve"> et</w:t>
            </w:r>
            <w:r w:rsidR="0027081E">
              <w:t xml:space="preserve"> 200-09-009012-151, 2015 QCCA 2159</w:t>
            </w:r>
            <w:r w:rsidR="0027081E" w:rsidRPr="001E26DB">
              <w:t xml:space="preserve">, daté du </w:t>
            </w:r>
            <w:r w:rsidR="0027081E">
              <w:t>22 décembre 2015</w:t>
            </w:r>
            <w:r w:rsidR="0027081E" w:rsidRPr="001E26DB">
              <w:t xml:space="preserve">, </w:t>
            </w:r>
            <w:r w:rsidR="00836977">
              <w:t>sont</w:t>
            </w:r>
            <w:r w:rsidR="00836977" w:rsidRPr="001E26DB">
              <w:t xml:space="preserve"> </w:t>
            </w:r>
            <w:r w:rsidR="004D7F84">
              <w:t>accueillie</w:t>
            </w:r>
            <w:r w:rsidR="00836977">
              <w:t>s</w:t>
            </w:r>
            <w:r w:rsidR="004D7F84">
              <w:t xml:space="preserve"> </w:t>
            </w:r>
            <w:r w:rsidR="00325DD7" w:rsidRPr="00325DD7">
              <w:t>avec</w:t>
            </w:r>
            <w:r w:rsidR="00325DD7">
              <w:t xml:space="preserve"> </w:t>
            </w:r>
            <w:r w:rsidR="00325DD7" w:rsidRPr="00325DD7">
              <w:t>dépens</w:t>
            </w:r>
            <w:r w:rsidR="00325DD7">
              <w:t xml:space="preserve"> suivant</w:t>
            </w:r>
            <w:r w:rsidR="00DB3A9E">
              <w:t xml:space="preserve"> issue de</w:t>
            </w:r>
            <w:r w:rsidR="00325DD7">
              <w:t xml:space="preserve"> la cause.</w:t>
            </w:r>
          </w:p>
        </w:tc>
        <w:tc>
          <w:tcPr>
            <w:tcW w:w="381" w:type="pct"/>
          </w:tcPr>
          <w:p w14:paraId="0C31A49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31A49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C31A4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C31A494" w14:textId="52C96D2D" w:rsidR="00824412" w:rsidRPr="001E26DB" w:rsidRDefault="00C96EB9" w:rsidP="00836977">
            <w:pPr>
              <w:jc w:val="both"/>
              <w:rPr>
                <w:lang w:val="en-CA"/>
              </w:rPr>
            </w:pPr>
            <w:r w:rsidRPr="006F53EA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motions of </w:t>
            </w:r>
            <w:r w:rsidRPr="00C96EB9">
              <w:rPr>
                <w:lang w:val="en-US"/>
              </w:rPr>
              <w:t>Ultramar Ltd.</w:t>
            </w:r>
            <w:r w:rsidR="00DE535C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911B51">
              <w:rPr>
                <w:lang w:val="en-US"/>
              </w:rPr>
              <w:t xml:space="preserve">et al. </w:t>
            </w:r>
            <w:r w:rsidRPr="006F53EA">
              <w:rPr>
                <w:lang w:val="en-US"/>
              </w:rPr>
              <w:t>for an extension of time to serve and file the application for leave to appe</w:t>
            </w:r>
            <w:bookmarkStart w:id="0" w:name="_GoBack"/>
            <w:bookmarkEnd w:id="0"/>
            <w:r w:rsidRPr="006F53EA">
              <w:rPr>
                <w:lang w:val="en-US"/>
              </w:rPr>
              <w:t>al</w:t>
            </w:r>
            <w:r w:rsidR="00D26110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9526F1">
              <w:rPr>
                <w:lang w:val="en-US"/>
              </w:rPr>
              <w:t xml:space="preserve">to expedite the application for leave to appeal </w:t>
            </w:r>
            <w:r>
              <w:rPr>
                <w:lang w:val="en-US"/>
              </w:rPr>
              <w:t xml:space="preserve">and to </w:t>
            </w:r>
            <w:r w:rsidR="00836977">
              <w:rPr>
                <w:lang w:val="en-US"/>
              </w:rPr>
              <w:t xml:space="preserve">join two files of this Court </w:t>
            </w:r>
            <w:r>
              <w:rPr>
                <w:lang w:val="en-US"/>
              </w:rPr>
              <w:t>are</w:t>
            </w:r>
            <w:r w:rsidRPr="006F53EA">
              <w:rPr>
                <w:lang w:val="en-US"/>
              </w:rPr>
              <w:t xml:space="preserve"> granted.</w:t>
            </w:r>
            <w:r w:rsidR="007A0124">
              <w:rPr>
                <w:lang w:val="en-CA"/>
              </w:rPr>
              <w:t xml:space="preserve"> </w:t>
            </w:r>
            <w:r w:rsidR="00836977">
              <w:rPr>
                <w:lang w:val="en-CA"/>
              </w:rPr>
              <w:t xml:space="preserve">The motion for the review of an order of the Registrar is dismissed. </w:t>
            </w:r>
            <w:r w:rsidR="0027081E" w:rsidRPr="001E26DB">
              <w:rPr>
                <w:lang w:val="en-CA"/>
              </w:rPr>
              <w:t>The application</w:t>
            </w:r>
            <w:r w:rsidR="00723601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A11D3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>, Number</w:t>
            </w:r>
            <w:r w:rsidR="00325DD7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4D7F84">
              <w:rPr>
                <w:lang w:val="en-CA"/>
              </w:rPr>
              <w:t>200-09-009011-153 and</w:t>
            </w:r>
            <w:r w:rsidR="0027081E" w:rsidRPr="005A11D3">
              <w:rPr>
                <w:lang w:val="en-CA"/>
              </w:rPr>
              <w:t xml:space="preserve"> 200-09-009012-151, 2015 QCCA 2159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A11D3">
              <w:rPr>
                <w:lang w:val="en-CA"/>
              </w:rPr>
              <w:t>December 22, 2015</w:t>
            </w:r>
            <w:r w:rsidR="004D7F84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836977">
              <w:rPr>
                <w:lang w:val="en-CA"/>
              </w:rPr>
              <w:t>are</w:t>
            </w:r>
            <w:r w:rsidR="00836977" w:rsidRPr="001E26DB">
              <w:rPr>
                <w:lang w:val="en-CA"/>
              </w:rPr>
              <w:t xml:space="preserve"> </w:t>
            </w:r>
            <w:r w:rsidR="004D7F84">
              <w:rPr>
                <w:lang w:val="en-CA"/>
              </w:rPr>
              <w:t>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C31A496" w14:textId="77777777" w:rsidR="009F436C" w:rsidRPr="002C29B6" w:rsidRDefault="009F436C" w:rsidP="00382FEC">
      <w:pPr>
        <w:rPr>
          <w:lang w:val="en-US"/>
        </w:rPr>
      </w:pPr>
    </w:p>
    <w:p w14:paraId="0C31A497" w14:textId="77777777" w:rsidR="009F436C" w:rsidRDefault="009F436C" w:rsidP="00417FB7">
      <w:pPr>
        <w:jc w:val="center"/>
        <w:rPr>
          <w:lang w:val="en-US"/>
        </w:rPr>
      </w:pPr>
    </w:p>
    <w:p w14:paraId="45109A05" w14:textId="77777777" w:rsidR="00A50F80" w:rsidRPr="002C29B6" w:rsidRDefault="00A50F80" w:rsidP="00417FB7">
      <w:pPr>
        <w:jc w:val="center"/>
        <w:rPr>
          <w:lang w:val="en-US"/>
        </w:rPr>
      </w:pPr>
    </w:p>
    <w:p w14:paraId="0C31A498" w14:textId="77777777" w:rsidR="009F436C" w:rsidRPr="002C29B6" w:rsidRDefault="009F436C" w:rsidP="00417FB7">
      <w:pPr>
        <w:jc w:val="center"/>
        <w:rPr>
          <w:lang w:val="en-US"/>
        </w:rPr>
      </w:pPr>
    </w:p>
    <w:p w14:paraId="0C31A49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C31A49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C31A49B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A49E" w14:textId="77777777" w:rsidR="006475C8" w:rsidRDefault="006475C8">
      <w:r>
        <w:separator/>
      </w:r>
    </w:p>
  </w:endnote>
  <w:endnote w:type="continuationSeparator" w:id="0">
    <w:p w14:paraId="0C31A49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A49C" w14:textId="77777777" w:rsidR="006475C8" w:rsidRDefault="006475C8">
      <w:r>
        <w:separator/>
      </w:r>
    </w:p>
  </w:footnote>
  <w:footnote w:type="continuationSeparator" w:id="0">
    <w:p w14:paraId="0C31A49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A4A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03B4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31A4A1" w14:textId="77777777" w:rsidR="00401B64" w:rsidRDefault="00401B64" w:rsidP="00401B64">
    <w:pPr>
      <w:rPr>
        <w:szCs w:val="24"/>
      </w:rPr>
    </w:pPr>
  </w:p>
  <w:p w14:paraId="0C31A4A2" w14:textId="77777777" w:rsidR="00401B64" w:rsidRDefault="00401B64" w:rsidP="00401B64">
    <w:pPr>
      <w:rPr>
        <w:szCs w:val="24"/>
      </w:rPr>
    </w:pPr>
  </w:p>
  <w:p w14:paraId="0C31A4A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36869</w:t>
    </w:r>
    <w:r w:rsidR="00401B64">
      <w:rPr>
        <w:szCs w:val="24"/>
      </w:rPr>
      <w:t>     </w:t>
    </w:r>
  </w:p>
  <w:p w14:paraId="0C31A4A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3B82"/>
    <w:rsid w:val="00055740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5DD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5288"/>
    <w:rsid w:val="00401B64"/>
    <w:rsid w:val="00414694"/>
    <w:rsid w:val="0041775C"/>
    <w:rsid w:val="00417FB7"/>
    <w:rsid w:val="00430004"/>
    <w:rsid w:val="00474535"/>
    <w:rsid w:val="004943CF"/>
    <w:rsid w:val="004956DA"/>
    <w:rsid w:val="004D7F84"/>
    <w:rsid w:val="004F63BA"/>
    <w:rsid w:val="00504B7F"/>
    <w:rsid w:val="00524C94"/>
    <w:rsid w:val="00563E2C"/>
    <w:rsid w:val="0058652D"/>
    <w:rsid w:val="005873F3"/>
    <w:rsid w:val="00587869"/>
    <w:rsid w:val="005918AD"/>
    <w:rsid w:val="005A11D3"/>
    <w:rsid w:val="005B69C9"/>
    <w:rsid w:val="005E46D7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23601"/>
    <w:rsid w:val="007372EA"/>
    <w:rsid w:val="0076003F"/>
    <w:rsid w:val="0079129C"/>
    <w:rsid w:val="007919AE"/>
    <w:rsid w:val="007A0124"/>
    <w:rsid w:val="007A23E7"/>
    <w:rsid w:val="007A54CC"/>
    <w:rsid w:val="007B340F"/>
    <w:rsid w:val="007C1235"/>
    <w:rsid w:val="007F41D5"/>
    <w:rsid w:val="00816B78"/>
    <w:rsid w:val="00823BF1"/>
    <w:rsid w:val="00824412"/>
    <w:rsid w:val="008262A3"/>
    <w:rsid w:val="00830BBE"/>
    <w:rsid w:val="00836977"/>
    <w:rsid w:val="0086042A"/>
    <w:rsid w:val="008813BC"/>
    <w:rsid w:val="008A153F"/>
    <w:rsid w:val="008A78BE"/>
    <w:rsid w:val="008B5590"/>
    <w:rsid w:val="008C4325"/>
    <w:rsid w:val="008D6351"/>
    <w:rsid w:val="008F4A07"/>
    <w:rsid w:val="00903B48"/>
    <w:rsid w:val="00911B51"/>
    <w:rsid w:val="00941D2A"/>
    <w:rsid w:val="00951EF6"/>
    <w:rsid w:val="009526F1"/>
    <w:rsid w:val="00961003"/>
    <w:rsid w:val="0096638C"/>
    <w:rsid w:val="00971A08"/>
    <w:rsid w:val="009810AC"/>
    <w:rsid w:val="00990F06"/>
    <w:rsid w:val="00995343"/>
    <w:rsid w:val="009D45DF"/>
    <w:rsid w:val="009E010A"/>
    <w:rsid w:val="009E0F71"/>
    <w:rsid w:val="009E664B"/>
    <w:rsid w:val="009E7A46"/>
    <w:rsid w:val="009F436C"/>
    <w:rsid w:val="00A02E3F"/>
    <w:rsid w:val="00A03153"/>
    <w:rsid w:val="00A103E3"/>
    <w:rsid w:val="00A14904"/>
    <w:rsid w:val="00A15DFC"/>
    <w:rsid w:val="00A46E1B"/>
    <w:rsid w:val="00A50F80"/>
    <w:rsid w:val="00A764F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19AC"/>
    <w:rsid w:val="00BA7D71"/>
    <w:rsid w:val="00BD2A96"/>
    <w:rsid w:val="00BF682C"/>
    <w:rsid w:val="00BF7644"/>
    <w:rsid w:val="00C2612E"/>
    <w:rsid w:val="00C609B7"/>
    <w:rsid w:val="00C96EB9"/>
    <w:rsid w:val="00CF2E5D"/>
    <w:rsid w:val="00D047BE"/>
    <w:rsid w:val="00D22B2D"/>
    <w:rsid w:val="00D26110"/>
    <w:rsid w:val="00D26BFF"/>
    <w:rsid w:val="00D42339"/>
    <w:rsid w:val="00D61AC2"/>
    <w:rsid w:val="00D652D6"/>
    <w:rsid w:val="00DB3A9E"/>
    <w:rsid w:val="00DE063A"/>
    <w:rsid w:val="00DE535C"/>
    <w:rsid w:val="00E01893"/>
    <w:rsid w:val="00E12A51"/>
    <w:rsid w:val="00E600ED"/>
    <w:rsid w:val="00E777AD"/>
    <w:rsid w:val="00E81C0B"/>
    <w:rsid w:val="00EA4B61"/>
    <w:rsid w:val="00EF4EF2"/>
    <w:rsid w:val="00F0416F"/>
    <w:rsid w:val="00F06BF6"/>
    <w:rsid w:val="00F1759D"/>
    <w:rsid w:val="00F17613"/>
    <w:rsid w:val="00F4094A"/>
    <w:rsid w:val="00F40FBF"/>
    <w:rsid w:val="00F47372"/>
    <w:rsid w:val="00F5034C"/>
    <w:rsid w:val="00F64F58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C31A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325DD7"/>
    <w:rPr>
      <w:shd w:val="clear" w:color="auto" w:fill="BFE8FD"/>
    </w:rPr>
  </w:style>
  <w:style w:type="character" w:customStyle="1" w:styleId="term110">
    <w:name w:val="term110"/>
    <w:basedOn w:val="DefaultParagraphFont"/>
    <w:rsid w:val="00325DD7"/>
    <w:rPr>
      <w:shd w:val="clear" w:color="auto" w:fill="F3BFFD"/>
    </w:rPr>
  </w:style>
  <w:style w:type="character" w:styleId="CommentReference">
    <w:name w:val="annotation reference"/>
    <w:basedOn w:val="DefaultParagraphFont"/>
    <w:uiPriority w:val="99"/>
    <w:semiHidden/>
    <w:unhideWhenUsed/>
    <w:rsid w:val="0032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DD7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DD7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F041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6110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11191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5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FCCE-2FFD-4152-8646-682B8BCD7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5FD10-73FD-408D-A359-45BCB176D2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F3A251-3E60-43E6-8F20-2D6FC1C2C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0803D-C1D2-4A1F-AC2B-7A901F8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2016-11-02T18:43:00Z</dcterms:created>
  <dcterms:modified xsi:type="dcterms:W3CDTF">2016-11-02T18:43:00Z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