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2E736" w14:textId="77777777" w:rsidR="009F436C" w:rsidRDefault="009F436C" w:rsidP="00382FEC"/>
    <w:p w14:paraId="0052E737" w14:textId="77777777" w:rsidR="002D2D44" w:rsidRPr="006E7BAE" w:rsidRDefault="002D2D44" w:rsidP="00382FEC"/>
    <w:p w14:paraId="0052E738" w14:textId="77777777" w:rsidR="009F436C" w:rsidRPr="006E7BAE" w:rsidRDefault="009F436C" w:rsidP="00382FEC"/>
    <w:p w14:paraId="0052E739" w14:textId="77777777" w:rsidR="0016666F" w:rsidRPr="006E7BAE" w:rsidRDefault="0016666F" w:rsidP="00382FEC"/>
    <w:p w14:paraId="0052E73A" w14:textId="77777777" w:rsidR="0016666F" w:rsidRDefault="0016666F" w:rsidP="00382FEC"/>
    <w:p w14:paraId="0052E73B" w14:textId="77777777" w:rsidR="00D83B8C" w:rsidRDefault="00D83B8C" w:rsidP="00382FEC"/>
    <w:p w14:paraId="0052E73C" w14:textId="77777777" w:rsidR="008763A3" w:rsidRDefault="008763A3" w:rsidP="00382FEC"/>
    <w:p w14:paraId="0052E73D" w14:textId="77777777" w:rsidR="00D83B8C" w:rsidRDefault="00D83B8C" w:rsidP="00382FEC"/>
    <w:p w14:paraId="0052E73E" w14:textId="77777777" w:rsidR="00D83B8C" w:rsidRDefault="00D83B8C" w:rsidP="00382FEC"/>
    <w:p w14:paraId="0052E73F" w14:textId="77777777" w:rsidR="00D83B8C" w:rsidRDefault="00D83B8C" w:rsidP="00382FEC"/>
    <w:p w14:paraId="0052E740" w14:textId="77777777" w:rsidR="00D83B8C" w:rsidRPr="006E7BAE" w:rsidRDefault="00D83B8C" w:rsidP="00382FEC"/>
    <w:p w14:paraId="0052E741" w14:textId="77777777" w:rsidR="009F436C" w:rsidRPr="006E7BAE" w:rsidRDefault="009F436C" w:rsidP="00382FEC"/>
    <w:p w14:paraId="0052E742" w14:textId="77777777" w:rsidR="009F436C" w:rsidRPr="006E7BAE" w:rsidRDefault="003A37CF" w:rsidP="00AE2077">
      <w:pPr>
        <w:jc w:val="right"/>
      </w:pPr>
      <w:r w:rsidRPr="006E7BAE">
        <w:t xml:space="preserve">No. </w:t>
      </w:r>
      <w:r>
        <w:t>36468</w:t>
      </w:r>
      <w:r w:rsidR="0016666F" w:rsidRPr="006E7BAE">
        <w:t>     </w:t>
      </w:r>
    </w:p>
    <w:p w14:paraId="0052E743" w14:textId="77777777" w:rsidR="009F436C" w:rsidRPr="006E7BAE" w:rsidRDefault="009F436C" w:rsidP="00382FEC"/>
    <w:p w14:paraId="0052E744"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3"/>
        <w:gridCol w:w="640"/>
        <w:gridCol w:w="4399"/>
      </w:tblGrid>
      <w:tr w:rsidR="00417FB7" w:rsidRPr="006E7BAE" w14:paraId="0052E748" w14:textId="77777777" w:rsidTr="00C173B0">
        <w:tc>
          <w:tcPr>
            <w:tcW w:w="2269" w:type="pct"/>
          </w:tcPr>
          <w:p w14:paraId="0052E745" w14:textId="77777777" w:rsidR="00417FB7" w:rsidRPr="006E7BAE" w:rsidRDefault="00EA612E" w:rsidP="008262A3">
            <w:r>
              <w:t>December 22</w:t>
            </w:r>
            <w:r w:rsidR="00B328CD">
              <w:t>, 2016</w:t>
            </w:r>
          </w:p>
        </w:tc>
        <w:tc>
          <w:tcPr>
            <w:tcW w:w="381" w:type="pct"/>
            <w:gridSpan w:val="2"/>
          </w:tcPr>
          <w:p w14:paraId="0052E746" w14:textId="77777777" w:rsidR="00417FB7" w:rsidRPr="006E7BAE" w:rsidRDefault="00417FB7" w:rsidP="00382FEC"/>
        </w:tc>
        <w:tc>
          <w:tcPr>
            <w:tcW w:w="2350" w:type="pct"/>
          </w:tcPr>
          <w:p w14:paraId="0052E747" w14:textId="77777777" w:rsidR="00417FB7" w:rsidRPr="00D83B8C" w:rsidRDefault="00EA612E" w:rsidP="00816B78">
            <w:pPr>
              <w:rPr>
                <w:lang w:val="en-US"/>
              </w:rPr>
            </w:pPr>
            <w:r>
              <w:t>Le 22</w:t>
            </w:r>
            <w:r w:rsidR="00B328CD">
              <w:t xml:space="preserve"> décembre 2016</w:t>
            </w:r>
          </w:p>
        </w:tc>
      </w:tr>
      <w:tr w:rsidR="00E12A51" w:rsidRPr="006E7BAE" w14:paraId="0052E74C" w14:textId="77777777" w:rsidTr="00C173B0">
        <w:tc>
          <w:tcPr>
            <w:tcW w:w="2269" w:type="pct"/>
            <w:tcMar>
              <w:top w:w="0" w:type="dxa"/>
              <w:bottom w:w="0" w:type="dxa"/>
            </w:tcMar>
          </w:tcPr>
          <w:p w14:paraId="0052E749" w14:textId="77777777" w:rsidR="00C2612E" w:rsidRPr="006E7BAE" w:rsidRDefault="00C2612E" w:rsidP="008262A3"/>
        </w:tc>
        <w:tc>
          <w:tcPr>
            <w:tcW w:w="381" w:type="pct"/>
            <w:gridSpan w:val="2"/>
            <w:tcMar>
              <w:top w:w="0" w:type="dxa"/>
              <w:bottom w:w="0" w:type="dxa"/>
            </w:tcMar>
          </w:tcPr>
          <w:p w14:paraId="0052E74A" w14:textId="77777777" w:rsidR="00E12A51" w:rsidRPr="006E7BAE" w:rsidRDefault="00E12A51" w:rsidP="00382FEC"/>
        </w:tc>
        <w:tc>
          <w:tcPr>
            <w:tcW w:w="2350" w:type="pct"/>
            <w:tcMar>
              <w:top w:w="0" w:type="dxa"/>
              <w:bottom w:w="0" w:type="dxa"/>
            </w:tcMar>
          </w:tcPr>
          <w:p w14:paraId="0052E74B" w14:textId="77777777" w:rsidR="00E12A51" w:rsidRPr="00D83B8C" w:rsidRDefault="00E12A51" w:rsidP="00816B78">
            <w:pPr>
              <w:rPr>
                <w:lang w:val="en-US"/>
              </w:rPr>
            </w:pPr>
          </w:p>
        </w:tc>
      </w:tr>
      <w:tr w:rsidR="00417FB7" w:rsidRPr="003D59C0" w14:paraId="0052E750" w14:textId="77777777" w:rsidTr="00C173B0">
        <w:tc>
          <w:tcPr>
            <w:tcW w:w="2269" w:type="pct"/>
          </w:tcPr>
          <w:p w14:paraId="0052E74D" w14:textId="77777777" w:rsidR="00417FB7" w:rsidRPr="006E7BAE" w:rsidRDefault="00417FB7" w:rsidP="008262A3">
            <w:r w:rsidRPr="006E7BAE">
              <w:t xml:space="preserve">Coram:  </w:t>
            </w:r>
            <w:r>
              <w:t>McLachlin C.J. and Wagner and Gascon JJ.</w:t>
            </w:r>
          </w:p>
        </w:tc>
        <w:tc>
          <w:tcPr>
            <w:tcW w:w="381" w:type="pct"/>
            <w:gridSpan w:val="2"/>
          </w:tcPr>
          <w:p w14:paraId="0052E74E" w14:textId="77777777" w:rsidR="00417FB7" w:rsidRPr="006E7BAE" w:rsidRDefault="00417FB7" w:rsidP="00382FEC"/>
        </w:tc>
        <w:tc>
          <w:tcPr>
            <w:tcW w:w="2350" w:type="pct"/>
          </w:tcPr>
          <w:p w14:paraId="0052E74F" w14:textId="77777777" w:rsidR="00417FB7" w:rsidRPr="006E7BAE" w:rsidRDefault="00417FB7" w:rsidP="00382FEC">
            <w:pPr>
              <w:rPr>
                <w:lang w:val="fr-CA"/>
              </w:rPr>
            </w:pPr>
            <w:r w:rsidRPr="006E7BAE">
              <w:rPr>
                <w:lang w:val="fr-CA"/>
              </w:rPr>
              <w:t xml:space="preserve">Coram : </w:t>
            </w:r>
            <w:r w:rsidRPr="00EA612E">
              <w:rPr>
                <w:lang w:val="fr-FR"/>
              </w:rPr>
              <w:t>La juge en chef McLachlin et les juges Wagner et Gascon</w:t>
            </w:r>
          </w:p>
        </w:tc>
      </w:tr>
      <w:tr w:rsidR="00C2612E" w:rsidRPr="003D59C0" w14:paraId="0052E754" w14:textId="77777777" w:rsidTr="00C173B0">
        <w:tc>
          <w:tcPr>
            <w:tcW w:w="2269" w:type="pct"/>
            <w:tcMar>
              <w:top w:w="0" w:type="dxa"/>
              <w:bottom w:w="0" w:type="dxa"/>
            </w:tcMar>
          </w:tcPr>
          <w:p w14:paraId="0052E751" w14:textId="77777777" w:rsidR="00C2612E" w:rsidRPr="00EA612E" w:rsidRDefault="00C2612E" w:rsidP="008262A3">
            <w:pPr>
              <w:rPr>
                <w:lang w:val="fr-FR"/>
              </w:rPr>
            </w:pPr>
          </w:p>
        </w:tc>
        <w:tc>
          <w:tcPr>
            <w:tcW w:w="381" w:type="pct"/>
            <w:gridSpan w:val="2"/>
            <w:tcMar>
              <w:top w:w="0" w:type="dxa"/>
              <w:bottom w:w="0" w:type="dxa"/>
            </w:tcMar>
          </w:tcPr>
          <w:p w14:paraId="0052E752" w14:textId="77777777" w:rsidR="00C2612E" w:rsidRPr="00EA612E" w:rsidRDefault="00C2612E" w:rsidP="00382FEC">
            <w:pPr>
              <w:rPr>
                <w:lang w:val="fr-FR"/>
              </w:rPr>
            </w:pPr>
          </w:p>
        </w:tc>
        <w:tc>
          <w:tcPr>
            <w:tcW w:w="2350" w:type="pct"/>
            <w:tcMar>
              <w:top w:w="0" w:type="dxa"/>
              <w:bottom w:w="0" w:type="dxa"/>
            </w:tcMar>
          </w:tcPr>
          <w:p w14:paraId="0052E753" w14:textId="77777777" w:rsidR="00C2612E" w:rsidRPr="006E7BAE" w:rsidRDefault="00C2612E" w:rsidP="00382FEC">
            <w:pPr>
              <w:rPr>
                <w:lang w:val="fr-CA"/>
              </w:rPr>
            </w:pPr>
          </w:p>
        </w:tc>
      </w:tr>
      <w:tr w:rsidR="00824412" w:rsidRPr="006E7BAE" w14:paraId="0052E762" w14:textId="77777777" w:rsidTr="00EA612E">
        <w:tc>
          <w:tcPr>
            <w:tcW w:w="2308" w:type="pct"/>
            <w:gridSpan w:val="2"/>
          </w:tcPr>
          <w:p w14:paraId="0052E755" w14:textId="77777777" w:rsidR="00CB6ECC" w:rsidRDefault="00EA612E">
            <w:pPr>
              <w:pStyle w:val="SCCLsocPrefix"/>
            </w:pPr>
            <w:r>
              <w:t>BETWEEN:</w:t>
            </w:r>
            <w:r>
              <w:br/>
            </w:r>
          </w:p>
          <w:p w14:paraId="0052E756" w14:textId="0BC2974E" w:rsidR="00CB6ECC" w:rsidRDefault="00EA612E">
            <w:pPr>
              <w:pStyle w:val="SCCLsocParty"/>
            </w:pPr>
            <w:r>
              <w:t>John Gillis, Jane Doe XVIII, John Doe Ltd. XVIII, John Doe XIX and John Doe XXI</w:t>
            </w:r>
            <w:r>
              <w:br/>
            </w:r>
          </w:p>
          <w:p w14:paraId="0052E757" w14:textId="77777777" w:rsidR="00CB6ECC" w:rsidRDefault="00EA612E">
            <w:pPr>
              <w:pStyle w:val="SCCLsocPartyRole"/>
            </w:pPr>
            <w:r>
              <w:t>Applicants</w:t>
            </w:r>
            <w:r>
              <w:br/>
            </w:r>
          </w:p>
          <w:p w14:paraId="0052E758" w14:textId="77777777" w:rsidR="00CB6ECC" w:rsidRDefault="00EA612E">
            <w:pPr>
              <w:pStyle w:val="SCCLsocVersus"/>
            </w:pPr>
            <w:r>
              <w:t>- and -</w:t>
            </w:r>
            <w:r>
              <w:br/>
            </w:r>
          </w:p>
          <w:p w14:paraId="0052E759" w14:textId="77777777" w:rsidR="00CB6ECC" w:rsidRDefault="00EA612E">
            <w:pPr>
              <w:pStyle w:val="SCCLsocParty"/>
            </w:pPr>
            <w:r>
              <w:t>BCE Inc., Bell Canada, Bell Mobility Cellular Inc., Bell Mobility Inc., Microcell Telecommunications Inc., Rogers Communications Inc., Rogers Communications Partnership, Fido Solutions Inc., Rogers Cantel Inc., Rogers Wireless Inc., and Rogers AT&amp;T Wireless</w:t>
            </w:r>
            <w:r>
              <w:br/>
            </w:r>
          </w:p>
          <w:p w14:paraId="0052E75A" w14:textId="77777777" w:rsidR="00CB6ECC" w:rsidRDefault="00EA612E">
            <w:pPr>
              <w:pStyle w:val="SCCLsocPartyRole"/>
            </w:pPr>
            <w:r>
              <w:t>Respondents</w:t>
            </w:r>
          </w:p>
        </w:tc>
        <w:tc>
          <w:tcPr>
            <w:tcW w:w="342" w:type="pct"/>
          </w:tcPr>
          <w:p w14:paraId="0052E75B" w14:textId="77777777" w:rsidR="00824412" w:rsidRPr="006E7BAE" w:rsidRDefault="00824412" w:rsidP="00375294"/>
        </w:tc>
        <w:tc>
          <w:tcPr>
            <w:tcW w:w="2350" w:type="pct"/>
          </w:tcPr>
          <w:p w14:paraId="0052E75C" w14:textId="77777777" w:rsidR="00CB6ECC" w:rsidRDefault="00EA612E">
            <w:pPr>
              <w:pStyle w:val="SCCLsocPrefix"/>
            </w:pPr>
            <w:r>
              <w:t>ENTRE :</w:t>
            </w:r>
            <w:r>
              <w:br/>
            </w:r>
          </w:p>
          <w:p w14:paraId="0052E75D" w14:textId="4333482E" w:rsidR="00CB6ECC" w:rsidRDefault="00EA612E">
            <w:pPr>
              <w:pStyle w:val="SCCLsocParty"/>
            </w:pPr>
            <w:r>
              <w:t>John Gillis, Jane Doe XVIII, John Doe Ltd. XVIII, John Doe XIX et John Doe XXI</w:t>
            </w:r>
            <w:r>
              <w:br/>
            </w:r>
          </w:p>
          <w:p w14:paraId="0052E75E" w14:textId="77777777" w:rsidR="00CB6ECC" w:rsidRDefault="00EA612E">
            <w:pPr>
              <w:pStyle w:val="SCCLsocPartyRole"/>
            </w:pPr>
            <w:r>
              <w:t>Demandeurs</w:t>
            </w:r>
            <w:r>
              <w:br/>
            </w:r>
          </w:p>
          <w:p w14:paraId="0052E75F" w14:textId="77777777" w:rsidR="00CB6ECC" w:rsidRDefault="00EA612E">
            <w:pPr>
              <w:pStyle w:val="SCCLsocVersus"/>
            </w:pPr>
            <w:r>
              <w:t>- et -</w:t>
            </w:r>
            <w:r>
              <w:br/>
            </w:r>
          </w:p>
          <w:p w14:paraId="0052E760" w14:textId="77777777" w:rsidR="00CB6ECC" w:rsidRDefault="00EA612E">
            <w:pPr>
              <w:pStyle w:val="SCCLsocParty"/>
            </w:pPr>
            <w:r>
              <w:t>BCE Inc., Bell Canada, Bell Mobilité Cellulaire Inc., Bell Mobilité Inc., Microcell Telecommunications Inc., Rogers Communications Inc., Rogers Communications Partnership, Fido Solutions Inc., Rogers Cantel Inc., Rogers Wireless Inc., et Rogers AT&amp;T Wireless</w:t>
            </w:r>
            <w:r>
              <w:br/>
            </w:r>
          </w:p>
          <w:p w14:paraId="0052E761" w14:textId="5A0EFDDD" w:rsidR="00CB6ECC" w:rsidRDefault="00EA612E">
            <w:pPr>
              <w:pStyle w:val="SCCLsocPartyRole"/>
            </w:pPr>
            <w:r>
              <w:t>Intimé</w:t>
            </w:r>
            <w:r w:rsidR="00132D89">
              <w:t>e</w:t>
            </w:r>
            <w:r>
              <w:t>s</w:t>
            </w:r>
          </w:p>
        </w:tc>
      </w:tr>
      <w:tr w:rsidR="00824412" w:rsidRPr="006E7BAE" w14:paraId="0052E766" w14:textId="77777777" w:rsidTr="00C173B0">
        <w:tc>
          <w:tcPr>
            <w:tcW w:w="2269" w:type="pct"/>
            <w:tcMar>
              <w:top w:w="0" w:type="dxa"/>
              <w:bottom w:w="0" w:type="dxa"/>
            </w:tcMar>
          </w:tcPr>
          <w:p w14:paraId="0052E763" w14:textId="77777777" w:rsidR="00824412" w:rsidRPr="006E7BAE" w:rsidRDefault="00824412" w:rsidP="00375294"/>
        </w:tc>
        <w:tc>
          <w:tcPr>
            <w:tcW w:w="381" w:type="pct"/>
            <w:gridSpan w:val="2"/>
            <w:tcMar>
              <w:top w:w="0" w:type="dxa"/>
              <w:bottom w:w="0" w:type="dxa"/>
            </w:tcMar>
          </w:tcPr>
          <w:p w14:paraId="0052E764" w14:textId="77777777" w:rsidR="00824412" w:rsidRPr="006E7BAE" w:rsidRDefault="00824412" w:rsidP="00375294"/>
        </w:tc>
        <w:tc>
          <w:tcPr>
            <w:tcW w:w="2350" w:type="pct"/>
            <w:tcMar>
              <w:top w:w="0" w:type="dxa"/>
              <w:bottom w:w="0" w:type="dxa"/>
            </w:tcMar>
          </w:tcPr>
          <w:p w14:paraId="0052E765" w14:textId="77777777" w:rsidR="00824412" w:rsidRPr="00D83B8C" w:rsidRDefault="00824412" w:rsidP="00B408F8">
            <w:pPr>
              <w:rPr>
                <w:lang w:val="en-US"/>
              </w:rPr>
            </w:pPr>
          </w:p>
        </w:tc>
      </w:tr>
      <w:tr w:rsidR="00824412" w:rsidRPr="003D59C0" w14:paraId="0052E77A" w14:textId="77777777" w:rsidTr="00C173B0">
        <w:tc>
          <w:tcPr>
            <w:tcW w:w="2269" w:type="pct"/>
          </w:tcPr>
          <w:p w14:paraId="0052E767" w14:textId="77777777" w:rsidR="00EA612E" w:rsidRDefault="00EA612E" w:rsidP="00C2612E">
            <w:pPr>
              <w:jc w:val="center"/>
            </w:pPr>
          </w:p>
          <w:p w14:paraId="0052E768" w14:textId="77777777" w:rsidR="00EA612E" w:rsidRDefault="00EA612E" w:rsidP="00C2612E">
            <w:pPr>
              <w:jc w:val="center"/>
            </w:pPr>
          </w:p>
          <w:p w14:paraId="0052E769" w14:textId="77777777" w:rsidR="00EA612E" w:rsidRDefault="00EA612E" w:rsidP="00C2612E">
            <w:pPr>
              <w:jc w:val="center"/>
            </w:pPr>
          </w:p>
          <w:p w14:paraId="0052E76A" w14:textId="77777777" w:rsidR="00EA612E" w:rsidRDefault="00EA612E" w:rsidP="00C2612E">
            <w:pPr>
              <w:jc w:val="center"/>
            </w:pPr>
          </w:p>
          <w:p w14:paraId="0052E76B" w14:textId="77777777" w:rsidR="00EA612E" w:rsidRDefault="00EA612E" w:rsidP="00C2612E">
            <w:pPr>
              <w:jc w:val="center"/>
            </w:pPr>
          </w:p>
          <w:p w14:paraId="0052E76C" w14:textId="77777777" w:rsidR="00EA612E" w:rsidRDefault="00EA612E" w:rsidP="00C2612E">
            <w:pPr>
              <w:jc w:val="center"/>
            </w:pPr>
          </w:p>
          <w:p w14:paraId="0052E76D" w14:textId="77777777" w:rsidR="00824412" w:rsidRPr="006E7BAE" w:rsidRDefault="00824412" w:rsidP="00C2612E">
            <w:pPr>
              <w:jc w:val="center"/>
            </w:pPr>
            <w:r w:rsidRPr="006E7BAE">
              <w:lastRenderedPageBreak/>
              <w:t>JUDGMENT</w:t>
            </w:r>
          </w:p>
          <w:p w14:paraId="0052E76E" w14:textId="77777777" w:rsidR="00824412" w:rsidRPr="006E7BAE" w:rsidRDefault="00824412" w:rsidP="00417FB7">
            <w:pPr>
              <w:jc w:val="center"/>
            </w:pPr>
          </w:p>
          <w:p w14:paraId="0052E76F" w14:textId="36BDE8BB" w:rsidR="00824412" w:rsidRPr="006E7BAE" w:rsidRDefault="00824412" w:rsidP="003D59C0">
            <w:pPr>
              <w:jc w:val="both"/>
            </w:pPr>
            <w:r w:rsidRPr="006E7BAE">
              <w:t>The app</w:t>
            </w:r>
            <w:r w:rsidR="00011960" w:rsidRPr="006E7BAE">
              <w:t>lication for leave to appeal from the judgment of the</w:t>
            </w:r>
            <w:bookmarkStart w:id="0" w:name="BM_1_"/>
            <w:bookmarkEnd w:id="0"/>
            <w:r w:rsidRPr="006E7BAE">
              <w:t xml:space="preserve"> </w:t>
            </w:r>
            <w:r>
              <w:t>Nova Scotia Court of Appeal</w:t>
            </w:r>
            <w:r w:rsidRPr="006E7BAE">
              <w:t xml:space="preserve">, Number </w:t>
            </w:r>
            <w:r>
              <w:t>CA 430654, 201</w:t>
            </w:r>
            <w:r w:rsidR="003D59C0">
              <w:t>5</w:t>
            </w:r>
            <w:r>
              <w:t xml:space="preserve"> NSCA 32</w:t>
            </w:r>
            <w:r w:rsidRPr="006E7BAE">
              <w:t xml:space="preserve">, dated </w:t>
            </w:r>
            <w:r>
              <w:t>April 9, 2015</w:t>
            </w:r>
            <w:r w:rsidR="00EA612E">
              <w:t>,</w:t>
            </w:r>
            <w:r w:rsidRPr="006E7BAE">
              <w:t xml:space="preserve"> is </w:t>
            </w:r>
            <w:r w:rsidR="00EA612E">
              <w:t>dismissed with costs.</w:t>
            </w:r>
          </w:p>
        </w:tc>
        <w:tc>
          <w:tcPr>
            <w:tcW w:w="381" w:type="pct"/>
            <w:gridSpan w:val="2"/>
          </w:tcPr>
          <w:p w14:paraId="0052E770" w14:textId="77777777" w:rsidR="00824412" w:rsidRPr="006E7BAE" w:rsidRDefault="00824412" w:rsidP="00417FB7">
            <w:pPr>
              <w:jc w:val="center"/>
            </w:pPr>
          </w:p>
        </w:tc>
        <w:tc>
          <w:tcPr>
            <w:tcW w:w="2350" w:type="pct"/>
          </w:tcPr>
          <w:p w14:paraId="0052E771" w14:textId="77777777" w:rsidR="00EA612E" w:rsidRPr="00EA612E" w:rsidRDefault="00EA612E" w:rsidP="00C2612E">
            <w:pPr>
              <w:jc w:val="center"/>
            </w:pPr>
          </w:p>
          <w:p w14:paraId="0052E772" w14:textId="77777777" w:rsidR="00EA612E" w:rsidRPr="00EA612E" w:rsidRDefault="00EA612E" w:rsidP="00C2612E">
            <w:pPr>
              <w:jc w:val="center"/>
            </w:pPr>
          </w:p>
          <w:p w14:paraId="0052E773" w14:textId="77777777" w:rsidR="00EA612E" w:rsidRPr="00EA612E" w:rsidRDefault="00EA612E" w:rsidP="00C2612E">
            <w:pPr>
              <w:jc w:val="center"/>
            </w:pPr>
          </w:p>
          <w:p w14:paraId="0052E774" w14:textId="77777777" w:rsidR="00EA612E" w:rsidRPr="00EA612E" w:rsidRDefault="00EA612E" w:rsidP="00C2612E">
            <w:pPr>
              <w:jc w:val="center"/>
            </w:pPr>
          </w:p>
          <w:p w14:paraId="0052E775" w14:textId="77777777" w:rsidR="00EA612E" w:rsidRPr="00EA612E" w:rsidRDefault="00EA612E" w:rsidP="00C2612E">
            <w:pPr>
              <w:jc w:val="center"/>
            </w:pPr>
          </w:p>
          <w:p w14:paraId="0052E776" w14:textId="77777777" w:rsidR="00EA612E" w:rsidRPr="00EA612E" w:rsidRDefault="00EA612E" w:rsidP="00C2612E">
            <w:pPr>
              <w:jc w:val="center"/>
            </w:pPr>
          </w:p>
          <w:p w14:paraId="0052E777" w14:textId="77777777" w:rsidR="00824412" w:rsidRPr="006E7BAE" w:rsidRDefault="00824412" w:rsidP="00C2612E">
            <w:pPr>
              <w:jc w:val="center"/>
              <w:rPr>
                <w:lang w:val="fr-CA"/>
              </w:rPr>
            </w:pPr>
            <w:r w:rsidRPr="006E7BAE">
              <w:rPr>
                <w:lang w:val="fr-CA"/>
              </w:rPr>
              <w:lastRenderedPageBreak/>
              <w:t>JUGEMENT</w:t>
            </w:r>
          </w:p>
          <w:p w14:paraId="0052E778" w14:textId="77777777" w:rsidR="00824412" w:rsidRPr="006E7BAE" w:rsidRDefault="00824412" w:rsidP="00417FB7">
            <w:pPr>
              <w:jc w:val="center"/>
              <w:rPr>
                <w:lang w:val="fr-CA"/>
              </w:rPr>
            </w:pPr>
          </w:p>
          <w:p w14:paraId="0052E779" w14:textId="4DC6538A" w:rsidR="00824412" w:rsidRPr="006E7BAE" w:rsidRDefault="00824412" w:rsidP="003D59C0">
            <w:pPr>
              <w:jc w:val="both"/>
              <w:rPr>
                <w:lang w:val="fr-CA"/>
              </w:rPr>
            </w:pPr>
            <w:bookmarkStart w:id="1" w:name="_GoBack"/>
            <w:r w:rsidRPr="006E7BAE">
              <w:rPr>
                <w:lang w:val="fr-CA"/>
              </w:rPr>
              <w:t>L</w:t>
            </w:r>
            <w:r w:rsidR="00011960" w:rsidRPr="006E7BAE">
              <w:rPr>
                <w:lang w:val="fr-CA"/>
              </w:rPr>
              <w:t>a demande d’autorisation d’appel de l’arrêt de la</w:t>
            </w:r>
            <w:r w:rsidRPr="006E7BAE">
              <w:rPr>
                <w:lang w:val="fr-CA"/>
              </w:rPr>
              <w:t xml:space="preserve"> </w:t>
            </w:r>
            <w:r w:rsidRPr="00EA612E">
              <w:rPr>
                <w:lang w:val="fr-FR"/>
              </w:rPr>
              <w:t>Cour d’appel de la Nouvelle-Écosse</w:t>
            </w:r>
            <w:r w:rsidRPr="006E7BAE">
              <w:rPr>
                <w:lang w:val="fr-CA"/>
              </w:rPr>
              <w:t xml:space="preserve">, numéro </w:t>
            </w:r>
            <w:r w:rsidRPr="00EA612E">
              <w:rPr>
                <w:lang w:val="fr-FR"/>
              </w:rPr>
              <w:t>CA 430654, 201</w:t>
            </w:r>
            <w:r w:rsidR="003D59C0">
              <w:rPr>
                <w:lang w:val="fr-FR"/>
              </w:rPr>
              <w:t>5</w:t>
            </w:r>
            <w:r w:rsidRPr="00EA612E">
              <w:rPr>
                <w:lang w:val="fr-FR"/>
              </w:rPr>
              <w:t xml:space="preserve"> NSCA 32</w:t>
            </w:r>
            <w:r w:rsidRPr="006E7BAE">
              <w:rPr>
                <w:lang w:val="fr-CA"/>
              </w:rPr>
              <w:t xml:space="preserve">, </w:t>
            </w:r>
            <w:r w:rsidR="00011960" w:rsidRPr="006E7BAE">
              <w:rPr>
                <w:lang w:val="fr-CA"/>
              </w:rPr>
              <w:t>daté du</w:t>
            </w:r>
            <w:r w:rsidRPr="006E7BAE">
              <w:rPr>
                <w:lang w:val="fr-CA"/>
              </w:rPr>
              <w:t xml:space="preserve"> </w:t>
            </w:r>
            <w:r w:rsidRPr="00EA612E">
              <w:rPr>
                <w:lang w:val="fr-FR"/>
              </w:rPr>
              <w:t>9 avril 2015</w:t>
            </w:r>
            <w:r w:rsidRPr="006E7BAE">
              <w:rPr>
                <w:lang w:val="fr-CA"/>
              </w:rPr>
              <w:t xml:space="preserve">, est </w:t>
            </w:r>
            <w:r w:rsidR="00EA612E">
              <w:rPr>
                <w:lang w:val="fr-CA"/>
              </w:rPr>
              <w:t>rejet</w:t>
            </w:r>
            <w:r w:rsidR="00EA612E">
              <w:rPr>
                <w:rFonts w:cs="Times New Roman"/>
                <w:lang w:val="fr-CA"/>
              </w:rPr>
              <w:t>é</w:t>
            </w:r>
            <w:r w:rsidR="00EA612E">
              <w:rPr>
                <w:lang w:val="fr-CA"/>
              </w:rPr>
              <w:t>e avec d</w:t>
            </w:r>
            <w:r w:rsidR="00EA612E">
              <w:rPr>
                <w:rFonts w:cs="Times New Roman"/>
                <w:lang w:val="fr-CA"/>
              </w:rPr>
              <w:t>é</w:t>
            </w:r>
            <w:r w:rsidR="00EA612E">
              <w:rPr>
                <w:lang w:val="fr-CA"/>
              </w:rPr>
              <w:t>pens.</w:t>
            </w:r>
            <w:bookmarkEnd w:id="1"/>
          </w:p>
        </w:tc>
      </w:tr>
    </w:tbl>
    <w:p w14:paraId="0052E77B" w14:textId="77777777" w:rsidR="009F436C" w:rsidRPr="00D83B8C" w:rsidRDefault="009F436C" w:rsidP="00382FEC">
      <w:pPr>
        <w:rPr>
          <w:lang w:val="fr-CA"/>
        </w:rPr>
      </w:pPr>
    </w:p>
    <w:p w14:paraId="0052E77C" w14:textId="77777777" w:rsidR="009F436C" w:rsidRPr="00D83B8C" w:rsidRDefault="009F436C" w:rsidP="00417FB7">
      <w:pPr>
        <w:jc w:val="center"/>
        <w:rPr>
          <w:lang w:val="fr-CA"/>
        </w:rPr>
      </w:pPr>
    </w:p>
    <w:p w14:paraId="0052E77D" w14:textId="77777777" w:rsidR="009F436C" w:rsidRPr="00D83B8C" w:rsidRDefault="009F436C" w:rsidP="00417FB7">
      <w:pPr>
        <w:jc w:val="center"/>
        <w:rPr>
          <w:lang w:val="fr-CA"/>
        </w:rPr>
      </w:pPr>
    </w:p>
    <w:p w14:paraId="0052E77E" w14:textId="77777777" w:rsidR="009F436C" w:rsidRPr="00D83B8C" w:rsidRDefault="003A37CF" w:rsidP="00417FB7">
      <w:pPr>
        <w:jc w:val="center"/>
        <w:rPr>
          <w:lang w:val="fr-CA"/>
        </w:rPr>
      </w:pPr>
      <w:r w:rsidRPr="00D83B8C">
        <w:rPr>
          <w:lang w:val="fr-CA"/>
        </w:rPr>
        <w:t>C.J.C.</w:t>
      </w:r>
    </w:p>
    <w:p w14:paraId="0052E77F" w14:textId="77777777" w:rsidR="009F436C" w:rsidRPr="00D83B8C" w:rsidRDefault="003A37CF" w:rsidP="00417FB7">
      <w:pPr>
        <w:jc w:val="center"/>
        <w:rPr>
          <w:lang w:val="fr-CA"/>
        </w:rPr>
      </w:pPr>
      <w:r w:rsidRPr="00D83B8C">
        <w:rPr>
          <w:lang w:val="fr-CA"/>
        </w:rPr>
        <w:t>J.C.C.</w:t>
      </w:r>
    </w:p>
    <w:p w14:paraId="0052E780" w14:textId="77777777" w:rsidR="009F436C" w:rsidRPr="00D83B8C" w:rsidRDefault="009F436C" w:rsidP="00417FB7">
      <w:pPr>
        <w:jc w:val="center"/>
        <w:rPr>
          <w:lang w:val="fr-CA"/>
        </w:rPr>
      </w:pPr>
    </w:p>
    <w:sectPr w:rsidR="009F436C" w:rsidRPr="00D83B8C" w:rsidSect="00054D01">
      <w:headerReference w:type="default" r:id="rId9"/>
      <w:pgSz w:w="12240" w:h="15840"/>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2E783" w14:textId="77777777" w:rsidR="00B328CD" w:rsidRDefault="00B328CD">
      <w:r>
        <w:separator/>
      </w:r>
    </w:p>
  </w:endnote>
  <w:endnote w:type="continuationSeparator" w:id="0">
    <w:p w14:paraId="0052E784" w14:textId="77777777" w:rsidR="00B328CD" w:rsidRDefault="00B3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2E781" w14:textId="77777777" w:rsidR="00B328CD" w:rsidRDefault="00B328CD">
      <w:r>
        <w:separator/>
      </w:r>
    </w:p>
  </w:footnote>
  <w:footnote w:type="continuationSeparator" w:id="0">
    <w:p w14:paraId="0052E782" w14:textId="77777777" w:rsidR="00B328CD" w:rsidRDefault="00B3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2E785"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5033F5">
      <w:rPr>
        <w:noProof/>
        <w:szCs w:val="24"/>
      </w:rPr>
      <w:t>2</w:t>
    </w:r>
    <w:r w:rsidR="00EF707C" w:rsidRPr="00417FB7">
      <w:rPr>
        <w:szCs w:val="24"/>
      </w:rPr>
      <w:fldChar w:fldCharType="end"/>
    </w:r>
    <w:r>
      <w:rPr>
        <w:szCs w:val="24"/>
      </w:rPr>
      <w:t xml:space="preserve"> -</w:t>
    </w:r>
  </w:p>
  <w:p w14:paraId="0052E786" w14:textId="77777777" w:rsidR="008F53F3" w:rsidRDefault="008F53F3" w:rsidP="008F53F3">
    <w:pPr>
      <w:rPr>
        <w:szCs w:val="24"/>
      </w:rPr>
    </w:pPr>
  </w:p>
  <w:p w14:paraId="0052E787" w14:textId="77777777" w:rsidR="008F53F3" w:rsidRDefault="008F53F3" w:rsidP="008F53F3">
    <w:pPr>
      <w:rPr>
        <w:szCs w:val="24"/>
      </w:rPr>
    </w:pPr>
  </w:p>
  <w:p w14:paraId="0052E788" w14:textId="77777777" w:rsidR="008F53F3" w:rsidRDefault="008F53F3" w:rsidP="008F53F3">
    <w:pPr>
      <w:tabs>
        <w:tab w:val="right" w:pos="9360"/>
      </w:tabs>
      <w:jc w:val="right"/>
      <w:rPr>
        <w:szCs w:val="24"/>
      </w:rPr>
    </w:pPr>
    <w:r>
      <w:rPr>
        <w:szCs w:val="24"/>
      </w:rPr>
      <w:t xml:space="preserve">No. </w:t>
    </w:r>
    <w:r>
      <w:t>36468</w:t>
    </w:r>
    <w:r>
      <w:rPr>
        <w:szCs w:val="24"/>
      </w:rPr>
      <w:t>     </w:t>
    </w:r>
  </w:p>
  <w:p w14:paraId="0052E789" w14:textId="77777777" w:rsidR="008F53F3" w:rsidRDefault="008F53F3"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11960"/>
    <w:rsid w:val="0001615A"/>
    <w:rsid w:val="000306C6"/>
    <w:rsid w:val="0003701B"/>
    <w:rsid w:val="0004338D"/>
    <w:rsid w:val="00054D01"/>
    <w:rsid w:val="00057FAF"/>
    <w:rsid w:val="00074657"/>
    <w:rsid w:val="00091327"/>
    <w:rsid w:val="000919B4"/>
    <w:rsid w:val="000B4AA7"/>
    <w:rsid w:val="000B76FF"/>
    <w:rsid w:val="000D7521"/>
    <w:rsid w:val="000E4CCE"/>
    <w:rsid w:val="00110EB3"/>
    <w:rsid w:val="00132D89"/>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3D59C0"/>
    <w:rsid w:val="00414694"/>
    <w:rsid w:val="00417FB7"/>
    <w:rsid w:val="0042783F"/>
    <w:rsid w:val="004943CF"/>
    <w:rsid w:val="004956DA"/>
    <w:rsid w:val="004D4658"/>
    <w:rsid w:val="005033F5"/>
    <w:rsid w:val="0055345D"/>
    <w:rsid w:val="00563E2C"/>
    <w:rsid w:val="00587869"/>
    <w:rsid w:val="00612913"/>
    <w:rsid w:val="00614908"/>
    <w:rsid w:val="00650109"/>
    <w:rsid w:val="006E7BAE"/>
    <w:rsid w:val="00701109"/>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5263"/>
    <w:rsid w:val="008A0569"/>
    <w:rsid w:val="008A153F"/>
    <w:rsid w:val="008F53F3"/>
    <w:rsid w:val="009305BF"/>
    <w:rsid w:val="00951EF6"/>
    <w:rsid w:val="0096638C"/>
    <w:rsid w:val="00971A08"/>
    <w:rsid w:val="009B161D"/>
    <w:rsid w:val="009D45DF"/>
    <w:rsid w:val="009E0F71"/>
    <w:rsid w:val="009E7A46"/>
    <w:rsid w:val="009F26C4"/>
    <w:rsid w:val="009F436C"/>
    <w:rsid w:val="00A03153"/>
    <w:rsid w:val="00A103E3"/>
    <w:rsid w:val="00A252FA"/>
    <w:rsid w:val="00AB4A38"/>
    <w:rsid w:val="00AB5E22"/>
    <w:rsid w:val="00AE2077"/>
    <w:rsid w:val="00B158E3"/>
    <w:rsid w:val="00B328CD"/>
    <w:rsid w:val="00B408F8"/>
    <w:rsid w:val="00B5078E"/>
    <w:rsid w:val="00B60EDC"/>
    <w:rsid w:val="00BC39BE"/>
    <w:rsid w:val="00BD4E4C"/>
    <w:rsid w:val="00BF7644"/>
    <w:rsid w:val="00C1285B"/>
    <w:rsid w:val="00C173B0"/>
    <w:rsid w:val="00C17F71"/>
    <w:rsid w:val="00C2612E"/>
    <w:rsid w:val="00CB6ECC"/>
    <w:rsid w:val="00CE249F"/>
    <w:rsid w:val="00CF17D0"/>
    <w:rsid w:val="00D42339"/>
    <w:rsid w:val="00D61AC2"/>
    <w:rsid w:val="00D83B8C"/>
    <w:rsid w:val="00DA4281"/>
    <w:rsid w:val="00DB1ADC"/>
    <w:rsid w:val="00E12A51"/>
    <w:rsid w:val="00E736B9"/>
    <w:rsid w:val="00E777AD"/>
    <w:rsid w:val="00EA4B61"/>
    <w:rsid w:val="00EA612E"/>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052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9100</Case>
    <DocumentType xmlns="40ae4924-d04e-473c-aafa-3657aad971d6">36</DocumentType>
    <DecisionProcessType xmlns="40ae4924-d04e-473c-aafa-3657aad971d6" xsi:nil="true"/>
    <FolderCode xmlns="40ae4924-d04e-473c-aafa-3657aad971d6">01-07</FolderCode>
    <DocumentLanguage xmlns="40ae4924-d04e-473c-aafa-3657aad971d6">
      <Value>1</Value>
      <Value>2</Value>
    </DocumentLanguage>
    <DocumentDate xmlns="40ae4924-d04e-473c-aafa-3657aad971d6">2016-12-22T05:00:00+00:00</DocumentDate>
    <SecurityClassification xmlns="40ae4924-d04e-473c-aafa-3657aad971d6">2</SecurityClassification>
    <CaseSensitivity xmlns="40ae4924-d04e-473c-aafa-3657aad971d6">
      <Value>1</Value>
    </CaseSensitivity>
    <AuthorContributor xmlns="40ae4924-d04e-473c-aafa-3657aad971d6">CJ, Wagner, Gascon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2.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4" ma:contentTypeDescription="Create a new document." ma:contentTypeScope="" ma:versionID="0856a7a93833a1fc5f55e5e8b7fbde20">
  <xsd:schema xmlns:xsd="http://www.w3.org/2001/XMLSchema" xmlns:xs="http://www.w3.org/2001/XMLSchema" xmlns:p="http://schemas.microsoft.com/office/2006/metadata/properties" xmlns:ns2="40ae4924-d04e-473c-aafa-3657aad971d6" targetNamespace="http://schemas.microsoft.com/office/2006/metadata/properties" ma:root="true" ma:fieldsID="d6ada63293d6a6a00a514cbf348aa870"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ED954F-F413-46F3-9149-2BD5A1B09084}">
  <ds:schemaRefs>
    <ds:schemaRef ds:uri="http://schemas.microsoft.com/office/2006/metadata/properties"/>
    <ds:schemaRef ds:uri="http://schemas.microsoft.com/office/infopath/2007/PartnerControls"/>
    <ds:schemaRef ds:uri="40ae4924-d04e-473c-aafa-3657aad971d6"/>
  </ds:schemaRefs>
</ds:datastoreItem>
</file>

<file path=customXml/itemProps2.xml><?xml version="1.0" encoding="utf-8"?>
<ds:datastoreItem xmlns:ds="http://schemas.openxmlformats.org/officeDocument/2006/customXml" ds:itemID="{7B3695EA-590F-4042-A371-2B504F259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5C83E6-8779-4F4F-98AC-C563838754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2016-12-21T19:50:00Z</dcterms:created>
  <dcterms:modified xsi:type="dcterms:W3CDTF">2016-12-21T19:50:00Z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