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6BBEC" w14:textId="77777777" w:rsidR="009F436C" w:rsidRDefault="009F436C" w:rsidP="00382FEC"/>
    <w:p w14:paraId="6106BBED" w14:textId="77777777" w:rsidR="002D2D44" w:rsidRPr="006E7BAE" w:rsidRDefault="002D2D44" w:rsidP="00382FEC"/>
    <w:p w14:paraId="6106BBEE" w14:textId="77777777" w:rsidR="009F436C" w:rsidRPr="006E7BAE" w:rsidRDefault="009F436C" w:rsidP="00382FEC"/>
    <w:p w14:paraId="6106BBEF" w14:textId="77777777" w:rsidR="0016666F" w:rsidRPr="006E7BAE" w:rsidRDefault="0016666F" w:rsidP="00382FEC"/>
    <w:p w14:paraId="6106BBF0" w14:textId="77777777" w:rsidR="0016666F" w:rsidRDefault="0016666F" w:rsidP="00382FEC"/>
    <w:p w14:paraId="6106BBF1" w14:textId="77777777" w:rsidR="00D83B8C" w:rsidRDefault="00D83B8C" w:rsidP="00382FEC"/>
    <w:p w14:paraId="6106BBF2" w14:textId="77777777" w:rsidR="008763A3" w:rsidRDefault="008763A3" w:rsidP="00382FEC"/>
    <w:p w14:paraId="6106BBF3" w14:textId="77777777" w:rsidR="00D83B8C" w:rsidRDefault="00D83B8C" w:rsidP="00382FEC"/>
    <w:p w14:paraId="6106BBF5" w14:textId="77777777" w:rsidR="00D83B8C" w:rsidRDefault="00D83B8C" w:rsidP="00382FEC"/>
    <w:p w14:paraId="6106BBF6" w14:textId="77777777" w:rsidR="00D83B8C" w:rsidRPr="006E7BAE" w:rsidRDefault="00D83B8C" w:rsidP="00382FEC"/>
    <w:p w14:paraId="6106BBF7" w14:textId="77777777" w:rsidR="009F436C" w:rsidRPr="006E7BAE" w:rsidRDefault="009F436C" w:rsidP="00382FEC">
      <w:bookmarkStart w:id="0" w:name="_GoBack"/>
      <w:bookmarkEnd w:id="0"/>
    </w:p>
    <w:p w14:paraId="6106BBF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37327</w:t>
      </w:r>
      <w:r w:rsidR="0016666F" w:rsidRPr="006E7BAE">
        <w:t>     </w:t>
      </w:r>
    </w:p>
    <w:p w14:paraId="6106BBF9" w14:textId="77777777" w:rsidR="009F436C" w:rsidRPr="006E7BAE" w:rsidRDefault="009F436C" w:rsidP="00382FEC"/>
    <w:p w14:paraId="6106BBFA" w14:textId="77777777" w:rsidR="002568D3" w:rsidRPr="00113158" w:rsidRDefault="002568D3" w:rsidP="00382FEC">
      <w:pPr>
        <w:rPr>
          <w:sz w:val="20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06BBFE" w14:textId="77777777" w:rsidTr="00C173B0">
        <w:tc>
          <w:tcPr>
            <w:tcW w:w="2269" w:type="pct"/>
          </w:tcPr>
          <w:p w14:paraId="6106BBFB" w14:textId="77777777" w:rsidR="00417FB7" w:rsidRPr="006E7BAE" w:rsidRDefault="00B328CD" w:rsidP="00D53766">
            <w:r>
              <w:t xml:space="preserve">March </w:t>
            </w:r>
            <w:r w:rsidR="00D53766">
              <w:t>23</w:t>
            </w:r>
            <w:r>
              <w:t>, 2017</w:t>
            </w:r>
          </w:p>
        </w:tc>
        <w:tc>
          <w:tcPr>
            <w:tcW w:w="381" w:type="pct"/>
          </w:tcPr>
          <w:p w14:paraId="6106BBFC" w14:textId="77777777" w:rsidR="00417FB7" w:rsidRPr="006E7BAE" w:rsidRDefault="00417FB7" w:rsidP="00382FEC"/>
        </w:tc>
        <w:tc>
          <w:tcPr>
            <w:tcW w:w="2350" w:type="pct"/>
          </w:tcPr>
          <w:p w14:paraId="6106BBFD" w14:textId="77777777" w:rsidR="00417FB7" w:rsidRPr="00D83B8C" w:rsidRDefault="00B328CD" w:rsidP="00D53766">
            <w:pPr>
              <w:rPr>
                <w:lang w:val="en-US"/>
              </w:rPr>
            </w:pPr>
            <w:r>
              <w:t xml:space="preserve">Le </w:t>
            </w:r>
            <w:r w:rsidR="00D53766">
              <w:t>23</w:t>
            </w:r>
            <w:r>
              <w:t xml:space="preserve"> mars 2017</w:t>
            </w:r>
          </w:p>
        </w:tc>
      </w:tr>
      <w:tr w:rsidR="00E12A51" w:rsidRPr="006E7BAE" w14:paraId="6106BC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06BBFF" w14:textId="77777777" w:rsidR="00C2612E" w:rsidRPr="00113158" w:rsidRDefault="00C2612E" w:rsidP="008262A3">
            <w:pPr>
              <w:rPr>
                <w:sz w:val="20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06BC0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06BC01" w14:textId="77777777" w:rsidR="00E12A51" w:rsidRPr="00113158" w:rsidRDefault="00E12A51" w:rsidP="00816B78">
            <w:pPr>
              <w:rPr>
                <w:sz w:val="20"/>
                <w:lang w:val="en-US"/>
              </w:rPr>
            </w:pPr>
          </w:p>
        </w:tc>
      </w:tr>
      <w:tr w:rsidR="00417FB7" w:rsidRPr="00EA6B8B" w14:paraId="6106BC06" w14:textId="77777777" w:rsidTr="00C173B0">
        <w:tc>
          <w:tcPr>
            <w:tcW w:w="2269" w:type="pct"/>
          </w:tcPr>
          <w:p w14:paraId="6106BC03" w14:textId="5AD61B51" w:rsidR="00417FB7" w:rsidRPr="006E7BAE" w:rsidRDefault="00417FB7" w:rsidP="00AB7325">
            <w:r w:rsidRPr="006E7BAE">
              <w:t xml:space="preserve">Coram: </w:t>
            </w:r>
            <w:r w:rsidR="00EA6B8B">
              <w:t xml:space="preserve"> </w:t>
            </w:r>
            <w:r w:rsidR="00AB7325">
              <w:rPr>
                <w:rFonts w:eastAsiaTheme="minorEastAsia"/>
                <w:szCs w:val="24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6106BC04" w14:textId="77777777" w:rsidR="00417FB7" w:rsidRPr="006E7BAE" w:rsidRDefault="00417FB7" w:rsidP="00382FEC"/>
        </w:tc>
        <w:tc>
          <w:tcPr>
            <w:tcW w:w="2350" w:type="pct"/>
          </w:tcPr>
          <w:p w14:paraId="6106BC05" w14:textId="5A15638D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AB7325" w:rsidRPr="00AB7325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EA6B8B" w14:paraId="6106BC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06BC07" w14:textId="77777777" w:rsidR="00C2612E" w:rsidRPr="00113158" w:rsidRDefault="00C2612E" w:rsidP="008262A3">
            <w:pPr>
              <w:rPr>
                <w:sz w:val="20"/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06BC08" w14:textId="77777777" w:rsidR="00C2612E" w:rsidRPr="00E4252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06BC09" w14:textId="77777777" w:rsidR="00C2612E" w:rsidRPr="00113158" w:rsidRDefault="00C2612E" w:rsidP="00382FEC">
            <w:pPr>
              <w:rPr>
                <w:sz w:val="20"/>
                <w:lang w:val="fr-CA"/>
              </w:rPr>
            </w:pPr>
          </w:p>
        </w:tc>
      </w:tr>
      <w:tr w:rsidR="00824412" w:rsidRPr="006E7BAE" w14:paraId="6106BC18" w14:textId="77777777" w:rsidTr="00C173B0">
        <w:tc>
          <w:tcPr>
            <w:tcW w:w="2269" w:type="pct"/>
          </w:tcPr>
          <w:p w14:paraId="6106BC0B" w14:textId="77777777" w:rsidR="00911627" w:rsidRPr="00113158" w:rsidRDefault="007C47A6">
            <w:pPr>
              <w:pStyle w:val="SCCLsocPrefix"/>
              <w:rPr>
                <w:sz w:val="20"/>
              </w:rPr>
            </w:pPr>
            <w:r>
              <w:t>BETWEEN:</w:t>
            </w:r>
            <w:r>
              <w:br/>
            </w:r>
          </w:p>
          <w:p w14:paraId="6106BC0C" w14:textId="77777777" w:rsidR="00911627" w:rsidRPr="00113158" w:rsidRDefault="007C47A6">
            <w:pPr>
              <w:pStyle w:val="SCCLsocParty"/>
              <w:rPr>
                <w:sz w:val="20"/>
              </w:rPr>
            </w:pPr>
            <w:r>
              <w:t>Gary Grant</w:t>
            </w:r>
            <w:r>
              <w:br/>
            </w:r>
          </w:p>
          <w:p w14:paraId="6106BC0D" w14:textId="77777777" w:rsidR="00911627" w:rsidRPr="00113158" w:rsidRDefault="007C47A6">
            <w:pPr>
              <w:pStyle w:val="SCCLsocPartyRole"/>
              <w:rPr>
                <w:sz w:val="20"/>
              </w:rPr>
            </w:pPr>
            <w:r>
              <w:t>Applicant</w:t>
            </w:r>
            <w:r>
              <w:br/>
            </w:r>
          </w:p>
          <w:p w14:paraId="6106BC0E" w14:textId="77777777" w:rsidR="00911627" w:rsidRPr="00113158" w:rsidRDefault="007C47A6">
            <w:pPr>
              <w:pStyle w:val="SCCLsocVersus"/>
              <w:rPr>
                <w:sz w:val="20"/>
              </w:rPr>
            </w:pPr>
            <w:r>
              <w:t>- and -</w:t>
            </w:r>
            <w:r>
              <w:br/>
            </w:r>
          </w:p>
          <w:p w14:paraId="6106BC0F" w14:textId="019904DF" w:rsidR="00911627" w:rsidRDefault="007C47A6">
            <w:pPr>
              <w:pStyle w:val="SCCLsocParty"/>
            </w:pPr>
            <w:r>
              <w:t>Equifax Canada Co., Trans Union of Canada</w:t>
            </w:r>
            <w:r w:rsidR="00AB7325">
              <w:t xml:space="preserve"> and</w:t>
            </w:r>
            <w:r>
              <w:t xml:space="preserve"> Ministry of Government Services and Consumer Services</w:t>
            </w:r>
            <w:r>
              <w:br/>
            </w:r>
          </w:p>
          <w:p w14:paraId="3316732A" w14:textId="77777777" w:rsidR="00AB7325" w:rsidRPr="00113158" w:rsidRDefault="00AB7325" w:rsidP="00113158">
            <w:pPr>
              <w:rPr>
                <w:sz w:val="20"/>
              </w:rPr>
            </w:pPr>
          </w:p>
          <w:p w14:paraId="6106BC10" w14:textId="77777777" w:rsidR="00911627" w:rsidRDefault="007C47A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106BC11" w14:textId="77777777" w:rsidR="00824412" w:rsidRPr="006E7BAE" w:rsidRDefault="00824412" w:rsidP="00375294"/>
        </w:tc>
        <w:tc>
          <w:tcPr>
            <w:tcW w:w="2350" w:type="pct"/>
          </w:tcPr>
          <w:p w14:paraId="6106BC12" w14:textId="77777777" w:rsidR="00911627" w:rsidRPr="00113158" w:rsidRDefault="007C47A6">
            <w:pPr>
              <w:pStyle w:val="SCCLsocPrefix"/>
              <w:rPr>
                <w:sz w:val="20"/>
                <w:lang w:val="fr-FR"/>
              </w:rPr>
            </w:pPr>
            <w:r w:rsidRPr="00E42527">
              <w:rPr>
                <w:lang w:val="fr-FR"/>
              </w:rPr>
              <w:t>ENTRE :</w:t>
            </w:r>
            <w:r w:rsidRPr="00E42527">
              <w:rPr>
                <w:lang w:val="fr-FR"/>
              </w:rPr>
              <w:br/>
            </w:r>
          </w:p>
          <w:p w14:paraId="6106BC13" w14:textId="77777777" w:rsidR="00911627" w:rsidRPr="00113158" w:rsidRDefault="007C47A6">
            <w:pPr>
              <w:pStyle w:val="SCCLsocParty"/>
              <w:rPr>
                <w:sz w:val="20"/>
                <w:lang w:val="fr-FR"/>
              </w:rPr>
            </w:pPr>
            <w:r w:rsidRPr="00E42527">
              <w:rPr>
                <w:lang w:val="fr-FR"/>
              </w:rPr>
              <w:t>Gary Grant</w:t>
            </w:r>
            <w:r w:rsidRPr="00E42527">
              <w:rPr>
                <w:lang w:val="fr-FR"/>
              </w:rPr>
              <w:br/>
            </w:r>
          </w:p>
          <w:p w14:paraId="6106BC14" w14:textId="77777777" w:rsidR="00911627" w:rsidRPr="00113158" w:rsidRDefault="007C47A6">
            <w:pPr>
              <w:pStyle w:val="SCCLsocPartyRole"/>
              <w:rPr>
                <w:sz w:val="20"/>
                <w:lang w:val="fr-FR"/>
              </w:rPr>
            </w:pPr>
            <w:r w:rsidRPr="00E42527">
              <w:rPr>
                <w:lang w:val="fr-FR"/>
              </w:rPr>
              <w:t>Demandeur</w:t>
            </w:r>
            <w:r w:rsidRPr="00E42527">
              <w:rPr>
                <w:lang w:val="fr-FR"/>
              </w:rPr>
              <w:br/>
            </w:r>
          </w:p>
          <w:p w14:paraId="6106BC15" w14:textId="77777777" w:rsidR="00911627" w:rsidRPr="00113158" w:rsidRDefault="007C47A6">
            <w:pPr>
              <w:pStyle w:val="SCCLsocVersus"/>
              <w:rPr>
                <w:sz w:val="20"/>
                <w:lang w:val="fr-CA"/>
              </w:rPr>
            </w:pPr>
            <w:r w:rsidRPr="00113158">
              <w:rPr>
                <w:lang w:val="fr-CA"/>
              </w:rPr>
              <w:t>- et -</w:t>
            </w:r>
            <w:r w:rsidRPr="00113158">
              <w:rPr>
                <w:lang w:val="fr-CA"/>
              </w:rPr>
              <w:br/>
            </w:r>
          </w:p>
          <w:p w14:paraId="6106BC16" w14:textId="43015397" w:rsidR="00911627" w:rsidRPr="00113158" w:rsidRDefault="007C47A6">
            <w:pPr>
              <w:pStyle w:val="SCCLsocParty"/>
              <w:rPr>
                <w:sz w:val="20"/>
                <w:lang w:val="fr-CA"/>
              </w:rPr>
            </w:pPr>
            <w:r w:rsidRPr="00113158">
              <w:rPr>
                <w:lang w:val="fr-CA"/>
              </w:rPr>
              <w:t>Equifax Canada Co., Trans Union du Canada</w:t>
            </w:r>
            <w:r w:rsidR="00AB7325">
              <w:rPr>
                <w:lang w:val="fr-CA"/>
              </w:rPr>
              <w:t xml:space="preserve"> et</w:t>
            </w:r>
            <w:r w:rsidRPr="00113158">
              <w:rPr>
                <w:lang w:val="fr-CA"/>
              </w:rPr>
              <w:t xml:space="preserve"> </w:t>
            </w:r>
            <w:r w:rsidR="00AB7325" w:rsidRPr="00113158">
              <w:rPr>
                <w:lang w:val="fr-CA"/>
              </w:rPr>
              <w:t>ministère des Services gouvernementaux et des Services aux consommateurs</w:t>
            </w:r>
            <w:r w:rsidRPr="00113158">
              <w:rPr>
                <w:lang w:val="fr-CA"/>
              </w:rPr>
              <w:br/>
            </w:r>
          </w:p>
          <w:p w14:paraId="6106BC17" w14:textId="24F0B09B" w:rsidR="00911627" w:rsidRDefault="007C47A6" w:rsidP="00D53766">
            <w:pPr>
              <w:pStyle w:val="SCCLsocPartyRole"/>
            </w:pPr>
            <w:r>
              <w:t>Intimés</w:t>
            </w:r>
          </w:p>
        </w:tc>
      </w:tr>
      <w:tr w:rsidR="00824412" w:rsidRPr="006E7BAE" w14:paraId="6106BC1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06BC19" w14:textId="77777777" w:rsidR="00824412" w:rsidRPr="00113158" w:rsidRDefault="00824412" w:rsidP="00375294">
            <w:pPr>
              <w:rPr>
                <w:sz w:val="20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06BC1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06BC1B" w14:textId="77777777" w:rsidR="00824412" w:rsidRPr="00113158" w:rsidRDefault="00824412" w:rsidP="00B408F8">
            <w:pPr>
              <w:rPr>
                <w:sz w:val="20"/>
                <w:lang w:val="en-US"/>
              </w:rPr>
            </w:pPr>
          </w:p>
        </w:tc>
      </w:tr>
      <w:tr w:rsidR="00824412" w:rsidRPr="00EA6B8B" w14:paraId="6106BC24" w14:textId="77777777" w:rsidTr="00C173B0">
        <w:tc>
          <w:tcPr>
            <w:tcW w:w="2269" w:type="pct"/>
          </w:tcPr>
          <w:p w14:paraId="6106BC1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06BC1E" w14:textId="77777777" w:rsidR="00824412" w:rsidRPr="00113158" w:rsidRDefault="00824412" w:rsidP="00417FB7">
            <w:pPr>
              <w:jc w:val="center"/>
              <w:rPr>
                <w:sz w:val="20"/>
              </w:rPr>
            </w:pPr>
          </w:p>
          <w:p w14:paraId="6106BC1F" w14:textId="001E5974" w:rsidR="00824412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C61664, 2016 ONCA 500</w:t>
            </w:r>
            <w:r w:rsidRPr="006E7BAE">
              <w:t xml:space="preserve">, dated </w:t>
            </w:r>
            <w:r>
              <w:t>June 23, 2016</w:t>
            </w:r>
            <w:r w:rsidR="00BE6A64">
              <w:t>,</w:t>
            </w:r>
            <w:r w:rsidRPr="006E7BAE">
              <w:t xml:space="preserve"> is </w:t>
            </w:r>
            <w:r w:rsidR="00BE6A64">
              <w:t>dismissed with costs to the respondents</w:t>
            </w:r>
            <w:r w:rsidR="00AB7325">
              <w:t>,</w:t>
            </w:r>
            <w:r w:rsidR="00BE6A64">
              <w:t xml:space="preserve"> Trans Union of Canada</w:t>
            </w:r>
            <w:r w:rsidR="00AB7325">
              <w:t xml:space="preserve"> and</w:t>
            </w:r>
            <w:r w:rsidR="00AE3524">
              <w:t xml:space="preserve"> </w:t>
            </w:r>
            <w:r w:rsidR="00BE6A64">
              <w:t>Ministry of Government Services and Consumer Services</w:t>
            </w:r>
            <w:r w:rsidRPr="006E7BAE">
              <w:t>.</w:t>
            </w:r>
          </w:p>
        </w:tc>
        <w:tc>
          <w:tcPr>
            <w:tcW w:w="381" w:type="pct"/>
          </w:tcPr>
          <w:p w14:paraId="6106BC2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06BC2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06BC22" w14:textId="77777777" w:rsidR="00824412" w:rsidRPr="00113158" w:rsidRDefault="00824412" w:rsidP="00417FB7">
            <w:pPr>
              <w:jc w:val="center"/>
              <w:rPr>
                <w:sz w:val="20"/>
                <w:lang w:val="fr-CA"/>
              </w:rPr>
            </w:pPr>
          </w:p>
          <w:p w14:paraId="6106BC23" w14:textId="7CA224EB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42527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42527">
              <w:rPr>
                <w:lang w:val="fr-FR"/>
              </w:rPr>
              <w:t>C61664, 2016 ONCA 500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42527">
              <w:rPr>
                <w:lang w:val="fr-FR"/>
              </w:rPr>
              <w:t>23 juin 2016</w:t>
            </w:r>
            <w:r w:rsidRPr="006E7BAE">
              <w:rPr>
                <w:lang w:val="fr-CA"/>
              </w:rPr>
              <w:t xml:space="preserve">, est </w:t>
            </w:r>
            <w:r w:rsidR="00BE6A64">
              <w:rPr>
                <w:lang w:val="fr-CA"/>
              </w:rPr>
              <w:t>rejetée avec dépens en faveur de</w:t>
            </w:r>
            <w:r w:rsidR="00AB7325">
              <w:rPr>
                <w:lang w:val="fr-CA"/>
              </w:rPr>
              <w:t>s</w:t>
            </w:r>
            <w:r w:rsidR="00BE6A64">
              <w:rPr>
                <w:lang w:val="fr-CA"/>
              </w:rPr>
              <w:t xml:space="preserve"> intimé</w:t>
            </w:r>
            <w:r w:rsidR="00AB7325">
              <w:rPr>
                <w:lang w:val="fr-CA"/>
              </w:rPr>
              <w:t>s,</w:t>
            </w:r>
            <w:r w:rsidR="00BE6A64" w:rsidRPr="00BE6A64">
              <w:rPr>
                <w:lang w:val="fr-FR"/>
              </w:rPr>
              <w:t xml:space="preserve"> Trans Union of Canada</w:t>
            </w:r>
            <w:r w:rsidR="00AE3524">
              <w:rPr>
                <w:lang w:val="fr-FR"/>
              </w:rPr>
              <w:t xml:space="preserve"> </w:t>
            </w:r>
            <w:r w:rsidR="00B817EE">
              <w:rPr>
                <w:lang w:val="fr-FR"/>
              </w:rPr>
              <w:t xml:space="preserve">et </w:t>
            </w:r>
            <w:r w:rsidR="00AB7325" w:rsidRPr="00AB7325">
              <w:rPr>
                <w:lang w:val="fr-FR"/>
              </w:rPr>
              <w:t>ministère des Services gouvernementaux et des Services aux consommateurs</w:t>
            </w:r>
            <w:r w:rsidR="00BE6A64" w:rsidRPr="00BE6A64">
              <w:rPr>
                <w:lang w:val="fr-FR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106BC25" w14:textId="77777777" w:rsidR="009F436C" w:rsidRPr="00D83B8C" w:rsidRDefault="009F436C" w:rsidP="00382FEC">
      <w:pPr>
        <w:rPr>
          <w:lang w:val="fr-CA"/>
        </w:rPr>
      </w:pPr>
    </w:p>
    <w:p w14:paraId="6106BC26" w14:textId="77777777" w:rsidR="009F436C" w:rsidRPr="00D83B8C" w:rsidRDefault="009F436C" w:rsidP="00417FB7">
      <w:pPr>
        <w:jc w:val="center"/>
        <w:rPr>
          <w:lang w:val="fr-CA"/>
        </w:rPr>
      </w:pPr>
    </w:p>
    <w:p w14:paraId="6106BC27" w14:textId="77777777" w:rsidR="009F436C" w:rsidRPr="00D83B8C" w:rsidRDefault="009F436C" w:rsidP="00417FB7">
      <w:pPr>
        <w:jc w:val="center"/>
        <w:rPr>
          <w:lang w:val="fr-CA"/>
        </w:rPr>
      </w:pPr>
    </w:p>
    <w:p w14:paraId="6106BC2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106BC29" w14:textId="77777777" w:rsidR="008F53F3" w:rsidRPr="00A252FA" w:rsidRDefault="003A37CF" w:rsidP="00BE6A6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113158">
      <w:headerReference w:type="default" r:id="rId9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6BC2C" w14:textId="77777777" w:rsidR="00B328CD" w:rsidRDefault="00B328CD">
      <w:r>
        <w:separator/>
      </w:r>
    </w:p>
  </w:endnote>
  <w:endnote w:type="continuationSeparator" w:id="0">
    <w:p w14:paraId="6106BC2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6BC2A" w14:textId="77777777" w:rsidR="00B328CD" w:rsidRDefault="00B328CD">
      <w:r>
        <w:separator/>
      </w:r>
    </w:p>
  </w:footnote>
  <w:footnote w:type="continuationSeparator" w:id="0">
    <w:p w14:paraId="6106BC2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6BC2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1315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06BC2F" w14:textId="77777777" w:rsidR="008F53F3" w:rsidRDefault="008F53F3" w:rsidP="008F53F3">
    <w:pPr>
      <w:rPr>
        <w:szCs w:val="24"/>
      </w:rPr>
    </w:pPr>
  </w:p>
  <w:p w14:paraId="6106BC30" w14:textId="77777777" w:rsidR="008F53F3" w:rsidRDefault="008F53F3" w:rsidP="008F53F3">
    <w:pPr>
      <w:rPr>
        <w:szCs w:val="24"/>
      </w:rPr>
    </w:pPr>
  </w:p>
  <w:p w14:paraId="6106BC3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37327</w:t>
    </w:r>
    <w:r>
      <w:rPr>
        <w:szCs w:val="24"/>
      </w:rPr>
      <w:t>     </w:t>
    </w:r>
  </w:p>
  <w:p w14:paraId="6106BC3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315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3FAE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47A6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0DE0"/>
    <w:rsid w:val="008F53F3"/>
    <w:rsid w:val="00911627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335"/>
    <w:rsid w:val="00AB5E22"/>
    <w:rsid w:val="00AB7325"/>
    <w:rsid w:val="00AE2077"/>
    <w:rsid w:val="00AE3524"/>
    <w:rsid w:val="00B158E3"/>
    <w:rsid w:val="00B328CD"/>
    <w:rsid w:val="00B408F8"/>
    <w:rsid w:val="00B5078E"/>
    <w:rsid w:val="00B60EDC"/>
    <w:rsid w:val="00B817EE"/>
    <w:rsid w:val="00BC39BE"/>
    <w:rsid w:val="00BD4E4C"/>
    <w:rsid w:val="00BE6A64"/>
    <w:rsid w:val="00BF7644"/>
    <w:rsid w:val="00C1285B"/>
    <w:rsid w:val="00C173B0"/>
    <w:rsid w:val="00C17F71"/>
    <w:rsid w:val="00C2612E"/>
    <w:rsid w:val="00CE249F"/>
    <w:rsid w:val="00CF17D0"/>
    <w:rsid w:val="00D42339"/>
    <w:rsid w:val="00D53766"/>
    <w:rsid w:val="00D61AC2"/>
    <w:rsid w:val="00D61CA0"/>
    <w:rsid w:val="00D83B8C"/>
    <w:rsid w:val="00DA4281"/>
    <w:rsid w:val="00DB1ADC"/>
    <w:rsid w:val="00E12A51"/>
    <w:rsid w:val="00E42527"/>
    <w:rsid w:val="00E736B9"/>
    <w:rsid w:val="00E777AD"/>
    <w:rsid w:val="00EA4B61"/>
    <w:rsid w:val="00EA6B8B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3DC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106B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11652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92E60-101A-4DDD-9053-519CFA6C6FA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DC16A19-D310-4A5D-B6D1-70E293A25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781F7-E7C5-452C-A950-09D400531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2017-03-21T15:11:00Z</dcterms:created>
  <dcterms:modified xsi:type="dcterms:W3CDTF">2017-03-21T15:11:00Z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