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4327" w14:textId="77777777" w:rsidR="007A4938" w:rsidRDefault="007A4938" w:rsidP="00AE2077">
      <w:pPr>
        <w:jc w:val="right"/>
        <w:rPr>
          <w:szCs w:val="24"/>
        </w:rPr>
      </w:pPr>
    </w:p>
    <w:p w14:paraId="0AA001D1" w14:textId="77777777" w:rsidR="007A4938" w:rsidRDefault="007A4938" w:rsidP="00AE2077">
      <w:pPr>
        <w:jc w:val="right"/>
        <w:rPr>
          <w:szCs w:val="24"/>
        </w:rPr>
      </w:pPr>
    </w:p>
    <w:p w14:paraId="25F93577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38156</w:t>
      </w:r>
      <w:r w:rsidR="00E81C0B" w:rsidRPr="001E26DB">
        <w:t>     </w:t>
      </w:r>
    </w:p>
    <w:p w14:paraId="25F93578" w14:textId="77777777" w:rsidR="009F436C" w:rsidRPr="001E26DB" w:rsidRDefault="009F436C" w:rsidP="00382FEC"/>
    <w:p w14:paraId="25F93579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5F9357D" w14:textId="77777777" w:rsidTr="00B37A52">
        <w:tc>
          <w:tcPr>
            <w:tcW w:w="2269" w:type="pct"/>
          </w:tcPr>
          <w:p w14:paraId="25F9357A" w14:textId="77777777" w:rsidR="00417FB7" w:rsidRPr="001E26DB" w:rsidRDefault="0062554E" w:rsidP="008265C5">
            <w:r>
              <w:t xml:space="preserve">Le </w:t>
            </w:r>
            <w:r w:rsidR="008265C5">
              <w:t>24 janvier</w:t>
            </w:r>
            <w:r>
              <w:t xml:space="preserve"> 201</w:t>
            </w:r>
            <w:r w:rsidR="008265C5">
              <w:t>9</w:t>
            </w:r>
          </w:p>
        </w:tc>
        <w:tc>
          <w:tcPr>
            <w:tcW w:w="381" w:type="pct"/>
          </w:tcPr>
          <w:p w14:paraId="25F9357B" w14:textId="77777777" w:rsidR="00417FB7" w:rsidRPr="001E26DB" w:rsidRDefault="00417FB7" w:rsidP="00382FEC"/>
        </w:tc>
        <w:tc>
          <w:tcPr>
            <w:tcW w:w="2350" w:type="pct"/>
          </w:tcPr>
          <w:p w14:paraId="25F9357C" w14:textId="77777777" w:rsidR="00417FB7" w:rsidRPr="001E26DB" w:rsidRDefault="008265C5" w:rsidP="008265C5">
            <w:pPr>
              <w:rPr>
                <w:lang w:val="en-CA"/>
              </w:rPr>
            </w:pPr>
            <w:r>
              <w:t>January</w:t>
            </w:r>
            <w:r w:rsidR="0062554E">
              <w:t xml:space="preserve"> 2</w:t>
            </w:r>
            <w:r>
              <w:t>4</w:t>
            </w:r>
            <w:r w:rsidR="0062554E">
              <w:t>, 201</w:t>
            </w:r>
            <w:r>
              <w:t>9</w:t>
            </w:r>
          </w:p>
        </w:tc>
      </w:tr>
      <w:tr w:rsidR="00C2612E" w:rsidRPr="0062554E" w14:paraId="25F93581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5F9357E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5F9357F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5F93580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25F9358F" w14:textId="77777777" w:rsidTr="006A1E6D">
        <w:tc>
          <w:tcPr>
            <w:tcW w:w="2269" w:type="pct"/>
          </w:tcPr>
          <w:p w14:paraId="25F93582" w14:textId="77777777" w:rsidR="00EB0573" w:rsidRDefault="008265C5">
            <w:pPr>
              <w:pStyle w:val="SCCLsocPrefix"/>
            </w:pPr>
            <w:r>
              <w:t>ENTRE :</w:t>
            </w:r>
            <w:r>
              <w:br/>
            </w:r>
          </w:p>
          <w:p w14:paraId="25F93583" w14:textId="77777777" w:rsidR="00EB0573" w:rsidRDefault="008265C5">
            <w:pPr>
              <w:pStyle w:val="SCCLsocParty"/>
            </w:pPr>
            <w:r>
              <w:t>Ville de Fermont</w:t>
            </w:r>
            <w:r>
              <w:br/>
            </w:r>
          </w:p>
          <w:p w14:paraId="25F93584" w14:textId="77777777" w:rsidR="00EB0573" w:rsidRDefault="008265C5">
            <w:pPr>
              <w:pStyle w:val="SCCLsocPartyRole"/>
            </w:pPr>
            <w:r>
              <w:t>Demanderesse</w:t>
            </w:r>
            <w:r>
              <w:br/>
            </w:r>
          </w:p>
          <w:p w14:paraId="25F93585" w14:textId="77777777" w:rsidR="00EB0573" w:rsidRPr="008265C5" w:rsidRDefault="008265C5">
            <w:pPr>
              <w:pStyle w:val="SCCLsocVersus"/>
              <w:rPr>
                <w:lang w:val="en-CA"/>
              </w:rPr>
            </w:pPr>
            <w:r w:rsidRPr="008265C5">
              <w:rPr>
                <w:lang w:val="en-CA"/>
              </w:rPr>
              <w:t>- et -</w:t>
            </w:r>
            <w:r w:rsidRPr="008265C5">
              <w:rPr>
                <w:lang w:val="en-CA"/>
              </w:rPr>
              <w:br/>
            </w:r>
          </w:p>
          <w:p w14:paraId="25F93586" w14:textId="294DBF8D" w:rsidR="00EB0573" w:rsidRPr="008265C5" w:rsidRDefault="008265C5">
            <w:pPr>
              <w:pStyle w:val="SCCLsocParty"/>
              <w:rPr>
                <w:lang w:val="en-CA"/>
              </w:rPr>
            </w:pPr>
            <w:r w:rsidRPr="008265C5">
              <w:rPr>
                <w:lang w:val="en-CA"/>
              </w:rPr>
              <w:t>Bloom Lake General Partner Limited, Quinto Mining Corporation, 8568391 Canada Limited, Cliffs Qu</w:t>
            </w:r>
            <w:r w:rsidR="004C68CB">
              <w:rPr>
                <w:lang w:val="en-CA"/>
              </w:rPr>
              <w:t>e</w:t>
            </w:r>
            <w:r w:rsidRPr="008265C5">
              <w:rPr>
                <w:lang w:val="en-CA"/>
              </w:rPr>
              <w:t xml:space="preserve">bec Iron Mining ULC, Wabush Iron Co. Limited, Wabush Resources </w:t>
            </w:r>
            <w:r w:rsidR="004C68CB">
              <w:rPr>
                <w:lang w:val="en-CA"/>
              </w:rPr>
              <w:t>I</w:t>
            </w:r>
            <w:r w:rsidRPr="008265C5">
              <w:rPr>
                <w:lang w:val="en-CA"/>
              </w:rPr>
              <w:t>nc., Bloom Lake Iron Ore Mine Limited Partnership, Bloom Lake Railway Company Limited, Wabush Mines, Arnaud Railway Company Limited, Wabush Lake Railway Company Limited, FTI Consulting Canada Inc.</w:t>
            </w:r>
            <w:r w:rsidR="00953933">
              <w:rPr>
                <w:lang w:val="en-CA"/>
              </w:rPr>
              <w:t xml:space="preserve"> et</w:t>
            </w:r>
            <w:r w:rsidRPr="008265C5">
              <w:rPr>
                <w:lang w:val="en-CA"/>
              </w:rPr>
              <w:t xml:space="preserve"> Syndicat des Métallos, sections locales 6254 et 6285</w:t>
            </w:r>
            <w:r w:rsidRPr="008265C5">
              <w:rPr>
                <w:lang w:val="en-CA"/>
              </w:rPr>
              <w:br/>
            </w:r>
          </w:p>
          <w:p w14:paraId="25F93587" w14:textId="26BA5899" w:rsidR="00EB0573" w:rsidRDefault="008265C5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25F9358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25F93589" w14:textId="77777777" w:rsidR="00EB0573" w:rsidRDefault="008265C5">
            <w:pPr>
              <w:pStyle w:val="SCCLsocPrefix"/>
            </w:pPr>
            <w:r>
              <w:t>BETWEEN:</w:t>
            </w:r>
            <w:r>
              <w:br/>
            </w:r>
          </w:p>
          <w:p w14:paraId="25F9358A" w14:textId="77777777" w:rsidR="00EB0573" w:rsidRDefault="008265C5">
            <w:pPr>
              <w:pStyle w:val="SCCLsocParty"/>
            </w:pPr>
            <w:r>
              <w:t>Ville de Fermont</w:t>
            </w:r>
            <w:r>
              <w:br/>
            </w:r>
          </w:p>
          <w:p w14:paraId="25F9358B" w14:textId="77777777" w:rsidR="00EB0573" w:rsidRDefault="008265C5">
            <w:pPr>
              <w:pStyle w:val="SCCLsocPartyRole"/>
            </w:pPr>
            <w:r>
              <w:t>Applicant</w:t>
            </w:r>
            <w:r>
              <w:br/>
            </w:r>
          </w:p>
          <w:p w14:paraId="25F9358C" w14:textId="77777777" w:rsidR="00EB0573" w:rsidRPr="008265C5" w:rsidRDefault="008265C5">
            <w:pPr>
              <w:pStyle w:val="SCCLsocVersus"/>
              <w:rPr>
                <w:lang w:val="en-CA"/>
              </w:rPr>
            </w:pPr>
            <w:r w:rsidRPr="008265C5">
              <w:rPr>
                <w:lang w:val="en-CA"/>
              </w:rPr>
              <w:t>- and -</w:t>
            </w:r>
            <w:r w:rsidRPr="008265C5">
              <w:rPr>
                <w:lang w:val="en-CA"/>
              </w:rPr>
              <w:br/>
            </w:r>
          </w:p>
          <w:p w14:paraId="25F9358D" w14:textId="54AAF4C0" w:rsidR="00EB0573" w:rsidRDefault="008265C5">
            <w:pPr>
              <w:pStyle w:val="SCCLsocParty"/>
              <w:rPr>
                <w:lang w:val="en-CA"/>
              </w:rPr>
            </w:pPr>
            <w:r w:rsidRPr="008265C5">
              <w:rPr>
                <w:lang w:val="en-CA"/>
              </w:rPr>
              <w:t>Bloom Lake General Partner Limited, Quinto Mining Corporation, 8568391 Canada Limited, Cliffs Qu</w:t>
            </w:r>
            <w:r w:rsidR="004C68CB">
              <w:rPr>
                <w:lang w:val="en-CA"/>
              </w:rPr>
              <w:t>e</w:t>
            </w:r>
            <w:r w:rsidRPr="008265C5">
              <w:rPr>
                <w:lang w:val="en-CA"/>
              </w:rPr>
              <w:t xml:space="preserve">bec Iron Mining ULC, Wabush Iron Co. Limited, Wabush Resources </w:t>
            </w:r>
            <w:r w:rsidR="004C68CB">
              <w:rPr>
                <w:lang w:val="en-CA"/>
              </w:rPr>
              <w:t>I</w:t>
            </w:r>
            <w:r w:rsidRPr="008265C5">
              <w:rPr>
                <w:lang w:val="en-CA"/>
              </w:rPr>
              <w:t>nc., Bloom Lake Iron Ore Mine Limited Partnership, Bloom Lake Railway Company Limited, Wabush Mines, Arnaud Railway Company Limited, Wabush Lake Railway Company Limited, FTI Consulting Canada Inc.</w:t>
            </w:r>
            <w:r w:rsidR="00953933">
              <w:rPr>
                <w:lang w:val="en-CA"/>
              </w:rPr>
              <w:t xml:space="preserve"> and</w:t>
            </w:r>
            <w:r w:rsidRPr="008265C5">
              <w:rPr>
                <w:lang w:val="en-CA"/>
              </w:rPr>
              <w:t xml:space="preserve"> </w:t>
            </w:r>
            <w:r w:rsidR="00953933">
              <w:rPr>
                <w:lang w:val="en-CA"/>
              </w:rPr>
              <w:t>United Steelworkers</w:t>
            </w:r>
            <w:r w:rsidRPr="008265C5">
              <w:rPr>
                <w:lang w:val="en-CA"/>
              </w:rPr>
              <w:t xml:space="preserve">, </w:t>
            </w:r>
            <w:r w:rsidR="00953933">
              <w:rPr>
                <w:lang w:val="en-CA"/>
              </w:rPr>
              <w:t>Locals</w:t>
            </w:r>
            <w:r w:rsidRPr="008265C5">
              <w:rPr>
                <w:lang w:val="en-CA"/>
              </w:rPr>
              <w:t xml:space="preserve"> 6254 </w:t>
            </w:r>
            <w:r w:rsidR="00953933">
              <w:rPr>
                <w:lang w:val="en-CA"/>
              </w:rPr>
              <w:t>and</w:t>
            </w:r>
            <w:r w:rsidR="00953933" w:rsidRPr="008265C5">
              <w:rPr>
                <w:lang w:val="en-CA"/>
              </w:rPr>
              <w:t xml:space="preserve"> </w:t>
            </w:r>
            <w:r w:rsidRPr="008265C5">
              <w:rPr>
                <w:lang w:val="en-CA"/>
              </w:rPr>
              <w:t>6285</w:t>
            </w:r>
            <w:r w:rsidRPr="008265C5">
              <w:rPr>
                <w:lang w:val="en-CA"/>
              </w:rPr>
              <w:br/>
            </w:r>
          </w:p>
          <w:p w14:paraId="10FC4B99" w14:textId="77777777" w:rsidR="00953933" w:rsidRPr="00953933" w:rsidRDefault="00953933" w:rsidP="001104F4">
            <w:pPr>
              <w:rPr>
                <w:lang w:val="en-CA"/>
              </w:rPr>
            </w:pPr>
          </w:p>
          <w:p w14:paraId="25F9358E" w14:textId="77777777" w:rsidR="00EB0573" w:rsidRDefault="008265C5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25F93593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5F93590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5F93591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5F93592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651DD" w14:paraId="25F9359F" w14:textId="77777777" w:rsidTr="00B37A52">
        <w:tc>
          <w:tcPr>
            <w:tcW w:w="2269" w:type="pct"/>
          </w:tcPr>
          <w:p w14:paraId="25F93594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5F93595" w14:textId="77777777" w:rsidR="0027081E" w:rsidRPr="001E26DB" w:rsidRDefault="0027081E" w:rsidP="0027081E">
            <w:pPr>
              <w:jc w:val="center"/>
            </w:pPr>
          </w:p>
          <w:p w14:paraId="25F93596" w14:textId="3A17D355" w:rsidR="00824412" w:rsidRPr="000F3078" w:rsidRDefault="0027081E" w:rsidP="0027081E">
            <w:pPr>
              <w:jc w:val="both"/>
              <w:rPr>
                <w:lang w:val="en-CA"/>
              </w:rPr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500-09-027026-178</w:t>
            </w:r>
            <w:r w:rsidRPr="001E26DB">
              <w:t>,</w:t>
            </w:r>
            <w:r w:rsidR="004C68CB">
              <w:t xml:space="preserve"> 2018 QCCA 551, </w:t>
            </w:r>
            <w:r w:rsidRPr="001E26DB">
              <w:t xml:space="preserve">daté du </w:t>
            </w:r>
            <w:r>
              <w:t>9 avril 2018</w:t>
            </w:r>
            <w:r w:rsidR="008265C5">
              <w:t xml:space="preserve">, est rejetée avec </w:t>
            </w:r>
            <w:r w:rsidRPr="001E26DB">
              <w:t>dépens</w:t>
            </w:r>
            <w:r w:rsidR="00A651DD">
              <w:t xml:space="preserve"> en faveur des </w:t>
            </w:r>
            <w:r w:rsidR="008265C5">
              <w:t>intimées</w:t>
            </w:r>
            <w:r w:rsidR="00A651DD">
              <w:t>,</w:t>
            </w:r>
            <w:r w:rsidR="008265C5">
              <w:t xml:space="preserve"> </w:t>
            </w:r>
            <w:r w:rsidR="0071435D">
              <w:lastRenderedPageBreak/>
              <w:t>Bloom Lake General Partner</w:t>
            </w:r>
            <w:r w:rsidR="003C5A16" w:rsidRPr="003C5A16">
              <w:t xml:space="preserve"> Limited, Quinto Mining Corporation, 85</w:t>
            </w:r>
            <w:r w:rsidR="002928F3">
              <w:t>68391 Canada Limited, Cliffs Que</w:t>
            </w:r>
            <w:r w:rsidR="003C5A16" w:rsidRPr="003C5A16">
              <w:t xml:space="preserve">bec Iron Mining ULC, Wabush Iron Co. </w:t>
            </w:r>
            <w:r w:rsidR="003C5A16" w:rsidRPr="000F3078">
              <w:rPr>
                <w:lang w:val="en-CA"/>
              </w:rPr>
              <w:t>Limited</w:t>
            </w:r>
            <w:r w:rsidR="000F3078">
              <w:rPr>
                <w:lang w:val="en-CA"/>
              </w:rPr>
              <w:t>,</w:t>
            </w:r>
            <w:r w:rsidR="003C5A16" w:rsidRPr="000F3078">
              <w:rPr>
                <w:lang w:val="en-CA"/>
              </w:rPr>
              <w:t xml:space="preserve"> Wabush Resources Inc., </w:t>
            </w:r>
            <w:r w:rsidR="000F3078" w:rsidRPr="000F3078">
              <w:rPr>
                <w:lang w:val="en-CA"/>
              </w:rPr>
              <w:t>Bloom Lake Iron Ore Mine Limited Partnership, Bloom Lake Railway Company Limited, Wabush Mines, Arnaud Railway Company Limited, Wabu</w:t>
            </w:r>
            <w:r w:rsidR="000F3078">
              <w:rPr>
                <w:lang w:val="en-CA"/>
              </w:rPr>
              <w:t>sh Lake Railway Company Limited</w:t>
            </w:r>
            <w:r w:rsidR="000F3078" w:rsidRPr="000F3078">
              <w:rPr>
                <w:lang w:val="en-CA"/>
              </w:rPr>
              <w:t xml:space="preserve"> </w:t>
            </w:r>
            <w:r w:rsidR="000F3078">
              <w:rPr>
                <w:lang w:val="en-CA"/>
              </w:rPr>
              <w:t>et</w:t>
            </w:r>
            <w:r w:rsidR="003C5A16" w:rsidRPr="000F3078">
              <w:rPr>
                <w:lang w:val="en-CA"/>
              </w:rPr>
              <w:t xml:space="preserve"> FTI Consulting Canada Inc.</w:t>
            </w:r>
          </w:p>
          <w:p w14:paraId="25F93597" w14:textId="77777777" w:rsidR="00622562" w:rsidRPr="000F3078" w:rsidRDefault="00622562" w:rsidP="0027081E">
            <w:pPr>
              <w:jc w:val="both"/>
              <w:rPr>
                <w:lang w:val="en-CA"/>
              </w:rPr>
            </w:pPr>
          </w:p>
          <w:p w14:paraId="25F93598" w14:textId="77777777" w:rsidR="00622562" w:rsidRPr="000F3078" w:rsidRDefault="00622562" w:rsidP="00D27D4E">
            <w:pPr>
              <w:jc w:val="both"/>
              <w:rPr>
                <w:lang w:val="en-CA"/>
              </w:rPr>
            </w:pPr>
          </w:p>
        </w:tc>
        <w:tc>
          <w:tcPr>
            <w:tcW w:w="381" w:type="pct"/>
          </w:tcPr>
          <w:p w14:paraId="25F93599" w14:textId="77777777" w:rsidR="00824412" w:rsidRPr="000F3078" w:rsidRDefault="00824412" w:rsidP="00417FB7">
            <w:pPr>
              <w:jc w:val="center"/>
              <w:rPr>
                <w:lang w:val="en-CA"/>
              </w:rPr>
            </w:pPr>
          </w:p>
        </w:tc>
        <w:tc>
          <w:tcPr>
            <w:tcW w:w="2350" w:type="pct"/>
          </w:tcPr>
          <w:p w14:paraId="25F9359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5F9359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5F9359C" w14:textId="4ED068CD" w:rsidR="00824412" w:rsidRDefault="0027081E" w:rsidP="006C1359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8265C5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8265C5">
              <w:rPr>
                <w:lang w:val="en-CA"/>
              </w:rPr>
              <w:t>500-09-027026-178</w:t>
            </w:r>
            <w:r w:rsidRPr="001E26DB">
              <w:rPr>
                <w:lang w:val="en-CA"/>
              </w:rPr>
              <w:t>,</w:t>
            </w:r>
            <w:r w:rsidR="004C68CB">
              <w:rPr>
                <w:lang w:val="en-CA"/>
              </w:rPr>
              <w:t xml:space="preserve"> </w:t>
            </w:r>
            <w:r w:rsidR="004C68CB" w:rsidRPr="008265C5">
              <w:rPr>
                <w:lang w:val="en-CA"/>
              </w:rPr>
              <w:t xml:space="preserve">2018 QCCA 551, </w:t>
            </w:r>
            <w:r w:rsidRPr="001E26DB">
              <w:rPr>
                <w:lang w:val="en-CA"/>
              </w:rPr>
              <w:t xml:space="preserve">dated </w:t>
            </w:r>
            <w:r w:rsidRPr="008265C5">
              <w:rPr>
                <w:lang w:val="en-CA"/>
              </w:rPr>
              <w:t>April 9, 2018</w:t>
            </w:r>
            <w:r w:rsidR="008265C5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8265C5">
              <w:rPr>
                <w:lang w:val="en-CA"/>
              </w:rPr>
              <w:t>dismissed with costs to the respondents</w:t>
            </w:r>
            <w:r w:rsidR="00A651DD">
              <w:rPr>
                <w:lang w:val="en-CA"/>
              </w:rPr>
              <w:t>,</w:t>
            </w:r>
            <w:r w:rsidR="008265C5">
              <w:rPr>
                <w:lang w:val="en-CA"/>
              </w:rPr>
              <w:t xml:space="preserve"> </w:t>
            </w:r>
            <w:r w:rsidR="0071435D">
              <w:rPr>
                <w:lang w:val="en-CA"/>
              </w:rPr>
              <w:lastRenderedPageBreak/>
              <w:t>Bloom Lake General Partner</w:t>
            </w:r>
            <w:r w:rsidR="003C5A16" w:rsidRPr="003C5A16">
              <w:rPr>
                <w:lang w:val="en-CA"/>
              </w:rPr>
              <w:t xml:space="preserve"> Limited, Quinto Mining Corporation, 85</w:t>
            </w:r>
            <w:r w:rsidR="002928F3">
              <w:rPr>
                <w:lang w:val="en-CA"/>
              </w:rPr>
              <w:t>68391 Canada Limited, Cliffs Que</w:t>
            </w:r>
            <w:r w:rsidR="003C5A16" w:rsidRPr="003C5A16">
              <w:rPr>
                <w:lang w:val="en-CA"/>
              </w:rPr>
              <w:t>bec Iron Mini</w:t>
            </w:r>
            <w:r w:rsidR="000F3078">
              <w:rPr>
                <w:lang w:val="en-CA"/>
              </w:rPr>
              <w:t xml:space="preserve">ng ULC, Wabush Iron Co. Limited, </w:t>
            </w:r>
            <w:r w:rsidR="003C5A16" w:rsidRPr="003C5A16">
              <w:rPr>
                <w:lang w:val="en-CA"/>
              </w:rPr>
              <w:t>Wabush Resources Inc.</w:t>
            </w:r>
            <w:r w:rsidR="00043A8F">
              <w:rPr>
                <w:lang w:val="en-CA"/>
              </w:rPr>
              <w:t>,</w:t>
            </w:r>
            <w:r w:rsidR="000F3078" w:rsidRPr="000F3078">
              <w:rPr>
                <w:lang w:val="en-CA"/>
              </w:rPr>
              <w:t xml:space="preserve"> Bloom Lake Iron Ore Mine Limited Partnership, Bloom Lake Railway Company Limited, Wabush Mines, Arnaud Railway Company Limited, Wabush Lake </w:t>
            </w:r>
            <w:r w:rsidR="000F3078">
              <w:rPr>
                <w:lang w:val="en-CA"/>
              </w:rPr>
              <w:t>Railway Company Limited</w:t>
            </w:r>
            <w:r w:rsidR="003C5A16" w:rsidRPr="003C5A16">
              <w:rPr>
                <w:lang w:val="en-CA"/>
              </w:rPr>
              <w:t xml:space="preserve"> </w:t>
            </w:r>
            <w:r w:rsidR="000F3078">
              <w:rPr>
                <w:lang w:val="en-CA"/>
              </w:rPr>
              <w:t xml:space="preserve">and </w:t>
            </w:r>
            <w:r w:rsidR="003C5A16" w:rsidRPr="003C5A16">
              <w:rPr>
                <w:lang w:val="en-CA"/>
              </w:rPr>
              <w:t>FTI Consulting Canada Inc.</w:t>
            </w:r>
          </w:p>
          <w:bookmarkEnd w:id="0"/>
          <w:p w14:paraId="25F9359D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25F9359E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25F935A0" w14:textId="77777777" w:rsidR="009F436C" w:rsidRPr="002C29B6" w:rsidRDefault="009F436C" w:rsidP="00382FEC">
      <w:pPr>
        <w:rPr>
          <w:lang w:val="en-US"/>
        </w:rPr>
      </w:pPr>
    </w:p>
    <w:p w14:paraId="25F935A1" w14:textId="77777777" w:rsidR="009F436C" w:rsidRPr="002C29B6" w:rsidRDefault="009F436C" w:rsidP="00417FB7">
      <w:pPr>
        <w:jc w:val="center"/>
        <w:rPr>
          <w:lang w:val="en-US"/>
        </w:rPr>
      </w:pPr>
    </w:p>
    <w:p w14:paraId="25F935A3" w14:textId="77777777" w:rsidR="008265C5" w:rsidRDefault="008265C5" w:rsidP="00417FB7">
      <w:pPr>
        <w:jc w:val="center"/>
        <w:rPr>
          <w:lang w:val="en-US"/>
        </w:rPr>
      </w:pPr>
    </w:p>
    <w:p w14:paraId="4457EDD5" w14:textId="77777777" w:rsidR="001104F4" w:rsidRPr="002C29B6" w:rsidRDefault="001104F4" w:rsidP="00417FB7">
      <w:pPr>
        <w:jc w:val="center"/>
        <w:rPr>
          <w:lang w:val="en-US"/>
        </w:rPr>
      </w:pPr>
    </w:p>
    <w:p w14:paraId="25F935A4" w14:textId="77777777" w:rsidR="00655333" w:rsidRPr="008265C5" w:rsidRDefault="00655333" w:rsidP="00655333">
      <w:pPr>
        <w:jc w:val="center"/>
        <w:rPr>
          <w:lang w:val="en-US"/>
        </w:rPr>
      </w:pPr>
    </w:p>
    <w:p w14:paraId="25F935A5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25F935A6" w14:textId="77777777" w:rsidR="00401B64" w:rsidRPr="00EF4EF2" w:rsidRDefault="00655333" w:rsidP="008265C5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25F935A7" w14:textId="77777777" w:rsidR="009F436C" w:rsidRPr="002C29B6" w:rsidRDefault="009F436C" w:rsidP="00401B64">
      <w:pPr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935AA" w14:textId="77777777" w:rsidR="00D27D4E" w:rsidRDefault="00D27D4E">
      <w:r>
        <w:separator/>
      </w:r>
    </w:p>
  </w:endnote>
  <w:endnote w:type="continuationSeparator" w:id="0">
    <w:p w14:paraId="25F935AB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935A8" w14:textId="77777777" w:rsidR="00D27D4E" w:rsidRDefault="00D27D4E">
      <w:r>
        <w:separator/>
      </w:r>
    </w:p>
  </w:footnote>
  <w:footnote w:type="continuationSeparator" w:id="0">
    <w:p w14:paraId="25F935A9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35AC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E67D51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5F935AD" w14:textId="77777777" w:rsidR="00401B64" w:rsidRDefault="00401B64" w:rsidP="00401B64">
    <w:pPr>
      <w:rPr>
        <w:szCs w:val="24"/>
      </w:rPr>
    </w:pPr>
  </w:p>
  <w:p w14:paraId="25F935AE" w14:textId="77777777" w:rsidR="00401B64" w:rsidRDefault="00401B64" w:rsidP="00401B64">
    <w:pPr>
      <w:rPr>
        <w:szCs w:val="24"/>
      </w:rPr>
    </w:pPr>
  </w:p>
  <w:p w14:paraId="25F935AF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38156</w:t>
    </w:r>
    <w:r w:rsidR="00401B64">
      <w:rPr>
        <w:szCs w:val="24"/>
      </w:rPr>
      <w:t>     </w:t>
    </w:r>
  </w:p>
  <w:p w14:paraId="25F935B0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5F935B1" w14:textId="77777777" w:rsidR="000452C9" w:rsidRDefault="000452C9" w:rsidP="000452C9"/>
      <w:p w14:paraId="25F935B2" w14:textId="77777777" w:rsidR="000452C9" w:rsidRPr="001E26DB" w:rsidRDefault="000452C9" w:rsidP="000452C9"/>
      <w:p w14:paraId="25F935B3" w14:textId="77777777" w:rsidR="000452C9" w:rsidRPr="001E26DB" w:rsidRDefault="000452C9" w:rsidP="000452C9"/>
      <w:p w14:paraId="25F935B4" w14:textId="77777777" w:rsidR="000452C9" w:rsidRDefault="000452C9" w:rsidP="000452C9"/>
      <w:p w14:paraId="25F935B5" w14:textId="77777777" w:rsidR="000452C9" w:rsidRDefault="000452C9" w:rsidP="000452C9"/>
      <w:p w14:paraId="25F935B6" w14:textId="77777777" w:rsidR="000452C9" w:rsidRDefault="000452C9" w:rsidP="000452C9"/>
      <w:p w14:paraId="25F935B7" w14:textId="77777777" w:rsidR="000452C9" w:rsidRDefault="000452C9" w:rsidP="000452C9"/>
      <w:p w14:paraId="25F935B8" w14:textId="77777777" w:rsidR="000452C9" w:rsidRPr="001E26DB" w:rsidRDefault="000452C9" w:rsidP="000452C9"/>
      <w:p w14:paraId="25F935B9" w14:textId="77777777" w:rsidR="000452C9" w:rsidRPr="001E26DB" w:rsidRDefault="000452C9" w:rsidP="000452C9"/>
      <w:p w14:paraId="25F935BA" w14:textId="77777777" w:rsidR="000452C9" w:rsidRDefault="000452C9" w:rsidP="000452C9">
        <w:pPr>
          <w:pStyle w:val="Header"/>
        </w:pPr>
      </w:p>
      <w:p w14:paraId="25F935BB" w14:textId="77777777" w:rsidR="001D6D96" w:rsidRPr="000452C9" w:rsidRDefault="00E67D51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3A8F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3078"/>
    <w:rsid w:val="000F44E1"/>
    <w:rsid w:val="001104F4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928F3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5A16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C68CB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722F6"/>
    <w:rsid w:val="006935F7"/>
    <w:rsid w:val="006A1E6D"/>
    <w:rsid w:val="006A56B4"/>
    <w:rsid w:val="006C1359"/>
    <w:rsid w:val="006C2D2F"/>
    <w:rsid w:val="006F1DF9"/>
    <w:rsid w:val="00701109"/>
    <w:rsid w:val="0071435D"/>
    <w:rsid w:val="007372EA"/>
    <w:rsid w:val="0076003F"/>
    <w:rsid w:val="0079129C"/>
    <w:rsid w:val="007919AE"/>
    <w:rsid w:val="007A4938"/>
    <w:rsid w:val="007A54CC"/>
    <w:rsid w:val="007B340F"/>
    <w:rsid w:val="007F41D5"/>
    <w:rsid w:val="00816B78"/>
    <w:rsid w:val="00823BF1"/>
    <w:rsid w:val="00824412"/>
    <w:rsid w:val="008262A3"/>
    <w:rsid w:val="008265C5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53933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651DD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E0DF3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67D51"/>
    <w:rsid w:val="00E777AD"/>
    <w:rsid w:val="00E81C0B"/>
    <w:rsid w:val="00EA4B61"/>
    <w:rsid w:val="00EB0573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25F93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12566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2018-12-21T05:00:00+00:00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8A584E-42F2-44DF-9881-FB30451E2F7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0ae4924-d04e-473c-aafa-3657aad971d6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F85D1B-D85B-436C-BE04-D6E43C292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25C78-5A20-497F-B505-530A1A970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2019-01-22T20:15:00Z</dcterms:created>
  <dcterms:modified xsi:type="dcterms:W3CDTF">2019-01-22T20:15:00Z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