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8AAC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38245</w:t>
      </w:r>
      <w:r w:rsidR="0016666F" w:rsidRPr="006E7BAE">
        <w:t>     </w:t>
      </w:r>
    </w:p>
    <w:bookmarkEnd w:id="0"/>
    <w:p w14:paraId="3ED8AAC1" w14:textId="77777777" w:rsidR="009F436C" w:rsidRPr="006E7BAE" w:rsidRDefault="009F436C" w:rsidP="00382FEC"/>
    <w:p w14:paraId="3ED8AAC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D8AAC6" w14:textId="77777777" w:rsidTr="00C173B0">
        <w:tc>
          <w:tcPr>
            <w:tcW w:w="2269" w:type="pct"/>
          </w:tcPr>
          <w:p w14:paraId="3ED8AAC3" w14:textId="77777777" w:rsidR="00417FB7" w:rsidRPr="006E7BAE" w:rsidRDefault="00F96CE4" w:rsidP="00F96CE4">
            <w:r>
              <w:t>March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3ED8AAC4" w14:textId="77777777" w:rsidR="00417FB7" w:rsidRPr="006E7BAE" w:rsidRDefault="00417FB7" w:rsidP="00382FEC"/>
        </w:tc>
        <w:tc>
          <w:tcPr>
            <w:tcW w:w="2350" w:type="pct"/>
          </w:tcPr>
          <w:p w14:paraId="3ED8AAC5" w14:textId="77777777" w:rsidR="00417FB7" w:rsidRPr="00D83B8C" w:rsidRDefault="00543EDD" w:rsidP="00F96CE4">
            <w:pPr>
              <w:rPr>
                <w:lang w:val="en-US"/>
              </w:rPr>
            </w:pPr>
            <w:r>
              <w:t xml:space="preserve">Le </w:t>
            </w:r>
            <w:r w:rsidR="00F96CE4">
              <w:t>14</w:t>
            </w:r>
            <w:r>
              <w:t xml:space="preserve"> </w:t>
            </w:r>
            <w:r w:rsidR="00F96CE4">
              <w:t>mars</w:t>
            </w:r>
            <w:r>
              <w:t xml:space="preserve"> 2019</w:t>
            </w:r>
          </w:p>
        </w:tc>
      </w:tr>
      <w:tr w:rsidR="00E12A51" w:rsidRPr="006E7BAE" w14:paraId="3ED8AA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D8AAC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D8AAC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D8AAC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ED8AADF" w14:textId="77777777" w:rsidTr="00C173B0">
        <w:tc>
          <w:tcPr>
            <w:tcW w:w="2269" w:type="pct"/>
          </w:tcPr>
          <w:p w14:paraId="3ED8AACB" w14:textId="77777777" w:rsidR="00087C26" w:rsidRDefault="007E2CDB">
            <w:pPr>
              <w:pStyle w:val="SCCLsocPrefix"/>
            </w:pPr>
            <w:r>
              <w:t>BETWEEN:</w:t>
            </w:r>
            <w:r>
              <w:br/>
            </w:r>
          </w:p>
          <w:p w14:paraId="3ED8AACC" w14:textId="77777777" w:rsidR="00087C26" w:rsidRDefault="007E2CDB">
            <w:pPr>
              <w:pStyle w:val="SCCLsocParty"/>
            </w:pPr>
            <w:r>
              <w:t>North American Financial Group Inc., North American Capital, Inc., Alexander Flavio Arconti and Luigino Arconti</w:t>
            </w:r>
            <w:r>
              <w:br/>
            </w:r>
          </w:p>
          <w:p w14:paraId="3ED8AACD" w14:textId="77777777" w:rsidR="00087C26" w:rsidRDefault="007E2CDB">
            <w:pPr>
              <w:pStyle w:val="SCCLsocPartyRole"/>
            </w:pPr>
            <w:r>
              <w:t>Applicants</w:t>
            </w:r>
            <w:r>
              <w:br/>
            </w:r>
          </w:p>
          <w:p w14:paraId="3ED8AACE" w14:textId="77777777" w:rsidR="00087C26" w:rsidRDefault="007E2CDB">
            <w:pPr>
              <w:pStyle w:val="SCCLsocVersus"/>
            </w:pPr>
            <w:r>
              <w:t>- and -</w:t>
            </w:r>
            <w:r>
              <w:br/>
            </w:r>
          </w:p>
          <w:p w14:paraId="3ED8AACF" w14:textId="77777777" w:rsidR="00087C26" w:rsidRDefault="007E2CDB">
            <w:pPr>
              <w:pStyle w:val="SCCLsocParty"/>
            </w:pPr>
            <w:r>
              <w:t>Ontario Securities Commission</w:t>
            </w:r>
            <w:r>
              <w:br/>
            </w:r>
          </w:p>
          <w:p w14:paraId="3ED8AAD0" w14:textId="77777777" w:rsidR="00F96CE4" w:rsidRDefault="00F96CE4">
            <w:pPr>
              <w:pStyle w:val="SCCLsocPartyRole"/>
            </w:pPr>
          </w:p>
          <w:p w14:paraId="3ED8AAD1" w14:textId="77777777" w:rsidR="00087C26" w:rsidRDefault="007E2CDB">
            <w:pPr>
              <w:pStyle w:val="SCCLsocPartyRole"/>
            </w:pPr>
            <w:r>
              <w:t>Respondent</w:t>
            </w:r>
            <w:r>
              <w:br/>
            </w:r>
          </w:p>
          <w:p w14:paraId="3ED8AAD2" w14:textId="77777777" w:rsidR="00087C26" w:rsidRDefault="007E2CDB">
            <w:pPr>
              <w:pStyle w:val="SCCLsocVersus"/>
            </w:pPr>
            <w:r>
              <w:t>- and -</w:t>
            </w:r>
            <w:r>
              <w:br/>
            </w:r>
          </w:p>
          <w:p w14:paraId="3ED8AAD3" w14:textId="18532E73" w:rsidR="00087C26" w:rsidRDefault="007E2CDB">
            <w:pPr>
              <w:pStyle w:val="SCCLsocParty"/>
            </w:pPr>
            <w:r>
              <w:t>Ian Ross Smith, Scott Fenton Professional Corporation and Fenton Smith Barristers</w:t>
            </w:r>
            <w:r>
              <w:br/>
            </w:r>
          </w:p>
          <w:p w14:paraId="3ED8AAD4" w14:textId="77777777" w:rsidR="00087C26" w:rsidRDefault="007E2CDB">
            <w:pPr>
              <w:pStyle w:val="SCCLsocPartyRole"/>
            </w:pPr>
            <w:r>
              <w:t>Intervener</w:t>
            </w:r>
            <w:r w:rsidR="00F96CE4">
              <w:t>s</w:t>
            </w:r>
          </w:p>
        </w:tc>
        <w:tc>
          <w:tcPr>
            <w:tcW w:w="381" w:type="pct"/>
          </w:tcPr>
          <w:p w14:paraId="3ED8AAD5" w14:textId="77777777" w:rsidR="00824412" w:rsidRPr="006E7BAE" w:rsidRDefault="00824412" w:rsidP="00375294"/>
        </w:tc>
        <w:tc>
          <w:tcPr>
            <w:tcW w:w="2350" w:type="pct"/>
          </w:tcPr>
          <w:p w14:paraId="3ED8AAD6" w14:textId="77777777" w:rsidR="00087C26" w:rsidRDefault="007E2CDB">
            <w:pPr>
              <w:pStyle w:val="SCCLsocPrefix"/>
            </w:pPr>
            <w:r>
              <w:t>ENTRE :</w:t>
            </w:r>
            <w:r>
              <w:br/>
            </w:r>
          </w:p>
          <w:p w14:paraId="3ED8AAD7" w14:textId="4A29B9B5" w:rsidR="00087C26" w:rsidRDefault="007E2CDB">
            <w:pPr>
              <w:pStyle w:val="SCCLsocParty"/>
            </w:pPr>
            <w:r>
              <w:t xml:space="preserve">North American Financial Group Inc., North American Capital, Inc., Alexander Flavio Arconti </w:t>
            </w:r>
            <w:r w:rsidR="002671A0">
              <w:t xml:space="preserve">et </w:t>
            </w:r>
            <w:r>
              <w:t>Luigino Arconti</w:t>
            </w:r>
            <w:r>
              <w:br/>
            </w:r>
          </w:p>
          <w:p w14:paraId="3ED8AAD8" w14:textId="77777777" w:rsidR="00087C26" w:rsidRPr="00087E2D" w:rsidRDefault="007E2CDB">
            <w:pPr>
              <w:pStyle w:val="SCCLsocPartyRole"/>
              <w:rPr>
                <w:lang w:val="fr-CA"/>
              </w:rPr>
            </w:pPr>
            <w:r w:rsidRPr="00087E2D">
              <w:rPr>
                <w:lang w:val="fr-CA"/>
              </w:rPr>
              <w:t>Demandeurs</w:t>
            </w:r>
            <w:r w:rsidRPr="00087E2D">
              <w:rPr>
                <w:lang w:val="fr-CA"/>
              </w:rPr>
              <w:br/>
            </w:r>
          </w:p>
          <w:p w14:paraId="3ED8AAD9" w14:textId="77777777" w:rsidR="00087C26" w:rsidRPr="00087E2D" w:rsidRDefault="007E2CDB">
            <w:pPr>
              <w:pStyle w:val="SCCLsocVersus"/>
              <w:rPr>
                <w:lang w:val="fr-CA"/>
              </w:rPr>
            </w:pPr>
            <w:r w:rsidRPr="00087E2D">
              <w:rPr>
                <w:lang w:val="fr-CA"/>
              </w:rPr>
              <w:t>- et -</w:t>
            </w:r>
            <w:r w:rsidRPr="00087E2D">
              <w:rPr>
                <w:lang w:val="fr-CA"/>
              </w:rPr>
              <w:br/>
            </w:r>
          </w:p>
          <w:p w14:paraId="3ED8AADA" w14:textId="77777777" w:rsidR="00087C26" w:rsidRPr="00087E2D" w:rsidRDefault="007E2CDB">
            <w:pPr>
              <w:pStyle w:val="SCCLsocParty"/>
              <w:rPr>
                <w:lang w:val="fr-CA"/>
              </w:rPr>
            </w:pPr>
            <w:r w:rsidRPr="00087E2D">
              <w:rPr>
                <w:lang w:val="fr-CA"/>
              </w:rPr>
              <w:t>Commission des valeurs mobilières de l</w:t>
            </w:r>
            <w:r w:rsidR="00F96CE4">
              <w:rPr>
                <w:lang w:val="fr-CA"/>
              </w:rPr>
              <w:t>’</w:t>
            </w:r>
            <w:r w:rsidRPr="00087E2D">
              <w:rPr>
                <w:lang w:val="fr-CA"/>
              </w:rPr>
              <w:t>Ontario</w:t>
            </w:r>
            <w:r w:rsidRPr="00087E2D">
              <w:rPr>
                <w:lang w:val="fr-CA"/>
              </w:rPr>
              <w:br/>
            </w:r>
          </w:p>
          <w:p w14:paraId="3ED8AADB" w14:textId="77777777" w:rsidR="00087C26" w:rsidRDefault="007E2CDB">
            <w:pPr>
              <w:pStyle w:val="SCCLsocPartyRole"/>
            </w:pPr>
            <w:r>
              <w:t>Intimée</w:t>
            </w:r>
            <w:r>
              <w:br/>
            </w:r>
          </w:p>
          <w:p w14:paraId="3ED8AADC" w14:textId="77777777" w:rsidR="00087C26" w:rsidRDefault="007E2CDB">
            <w:pPr>
              <w:pStyle w:val="SCCLsocVersus"/>
            </w:pPr>
            <w:r>
              <w:t>- et -</w:t>
            </w:r>
            <w:r>
              <w:br/>
            </w:r>
          </w:p>
          <w:p w14:paraId="3ED8AADD" w14:textId="791E360F" w:rsidR="00087C26" w:rsidRDefault="007E2CDB">
            <w:pPr>
              <w:pStyle w:val="SCCLsocParty"/>
            </w:pPr>
            <w:r>
              <w:t xml:space="preserve">Ian Ross Smith, Scott Fenton Professional Corporation </w:t>
            </w:r>
            <w:r w:rsidR="002671A0">
              <w:t xml:space="preserve">et </w:t>
            </w:r>
            <w:r>
              <w:t>Fenton Smith Barristers</w:t>
            </w:r>
            <w:r>
              <w:br/>
            </w:r>
          </w:p>
          <w:p w14:paraId="3ED8AADE" w14:textId="77777777" w:rsidR="00087C26" w:rsidRDefault="00F96CE4" w:rsidP="00F96CE4">
            <w:pPr>
              <w:pStyle w:val="SCCLsocPartyRole"/>
            </w:pPr>
            <w:r>
              <w:t>Intervenants</w:t>
            </w:r>
          </w:p>
        </w:tc>
      </w:tr>
      <w:tr w:rsidR="00824412" w:rsidRPr="006E7BAE" w14:paraId="3ED8AA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D8AAE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D8AAE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D8AAE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758E" w14:paraId="3ED8AAEC" w14:textId="77777777" w:rsidTr="00C173B0">
        <w:tc>
          <w:tcPr>
            <w:tcW w:w="2269" w:type="pct"/>
          </w:tcPr>
          <w:p w14:paraId="3ED8AAE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D8AAE5" w14:textId="77777777" w:rsidR="00824412" w:rsidRPr="006E7BAE" w:rsidRDefault="00824412" w:rsidP="00417FB7">
            <w:pPr>
              <w:jc w:val="center"/>
            </w:pPr>
          </w:p>
          <w:p w14:paraId="3ED8AAE7" w14:textId="2383E783" w:rsidR="003F6511" w:rsidRPr="006E7BAE" w:rsidRDefault="005017D0">
            <w:pPr>
              <w:jc w:val="both"/>
            </w:pPr>
            <w:r>
              <w:t xml:space="preserve">The motion for an extension of time to serve and file the motion to adduce new evidence is granted. </w:t>
            </w:r>
            <w:r w:rsidR="008A196E">
              <w:t xml:space="preserve">The motion to adduce </w:t>
            </w:r>
            <w:r w:rsidR="002671A0">
              <w:t xml:space="preserve">new </w:t>
            </w:r>
            <w:r w:rsidR="008A196E">
              <w:t xml:space="preserve">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lastRenderedPageBreak/>
              <w:t>Court of Appeal for Ontario</w:t>
            </w:r>
            <w:r w:rsidR="00824412" w:rsidRPr="006E7BAE">
              <w:t xml:space="preserve">, Number </w:t>
            </w:r>
            <w:r w:rsidR="00824412">
              <w:t>M48762</w:t>
            </w:r>
            <w:r w:rsidR="00824412" w:rsidRPr="006E7BAE">
              <w:t xml:space="preserve">, dated </w:t>
            </w:r>
            <w:r w:rsidR="00824412">
              <w:t>May 18, 2018</w:t>
            </w:r>
            <w:r w:rsidR="00F96CE4">
              <w:t>,</w:t>
            </w:r>
            <w:r w:rsidR="00824412" w:rsidRPr="006E7BAE">
              <w:t xml:space="preserve"> is</w:t>
            </w:r>
            <w:r w:rsidR="00F96CE4">
              <w:t xml:space="preserve"> dismissed with costs</w:t>
            </w:r>
            <w:r w:rsidR="00FA48D4">
              <w:t xml:space="preserve"> to the respondent and interveners.</w:t>
            </w:r>
          </w:p>
        </w:tc>
        <w:tc>
          <w:tcPr>
            <w:tcW w:w="381" w:type="pct"/>
          </w:tcPr>
          <w:p w14:paraId="3ED8AAE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D8AAE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D8AAE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D8AAEB" w14:textId="27E8EE1C" w:rsidR="003F6511" w:rsidRPr="006E7BAE" w:rsidRDefault="005017D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requête sollicitant l’autorisation de présenter une nouvelle preuve est accueillie. </w:t>
            </w:r>
            <w:r w:rsidR="008A196E">
              <w:rPr>
                <w:lang w:val="fr-CA"/>
              </w:rPr>
              <w:t xml:space="preserve">La requête </w:t>
            </w:r>
            <w:r w:rsidR="002671A0">
              <w:rPr>
                <w:rFonts w:cs="Times New Roman"/>
                <w:szCs w:val="24"/>
                <w:lang w:val="fr-CA"/>
              </w:rPr>
              <w:t xml:space="preserve">sollicitant l’autorisation de présenter une </w:t>
            </w:r>
            <w:r w:rsidR="002671A0">
              <w:rPr>
                <w:rFonts w:cs="Times New Roman"/>
                <w:szCs w:val="24"/>
                <w:lang w:val="fr-CA"/>
              </w:rPr>
              <w:lastRenderedPageBreak/>
              <w:t xml:space="preserve">nouvelle </w:t>
            </w:r>
            <w:r w:rsidR="008A196E">
              <w:rPr>
                <w:rFonts w:cs="Times New Roman"/>
                <w:szCs w:val="24"/>
                <w:lang w:val="fr-CA"/>
              </w:rPr>
              <w:t xml:space="preserve">preuve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87E2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87E2D">
              <w:rPr>
                <w:lang w:val="fr-CA"/>
              </w:rPr>
              <w:t>M48762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87E2D">
              <w:rPr>
                <w:lang w:val="fr-CA"/>
              </w:rPr>
              <w:t>18 mai 2018</w:t>
            </w:r>
            <w:r w:rsidR="00824412" w:rsidRPr="006E7BAE">
              <w:rPr>
                <w:lang w:val="fr-CA"/>
              </w:rPr>
              <w:t>, est</w:t>
            </w:r>
            <w:r w:rsidR="00F96CE4">
              <w:rPr>
                <w:lang w:val="fr-CA"/>
              </w:rPr>
              <w:t xml:space="preserve"> rejetée avec dépens</w:t>
            </w:r>
            <w:r w:rsidR="00FA48D4">
              <w:rPr>
                <w:lang w:val="fr-CA"/>
              </w:rPr>
              <w:t xml:space="preserve"> </w:t>
            </w:r>
            <w:r w:rsidR="00E221B5">
              <w:rPr>
                <w:lang w:val="fr-CA"/>
              </w:rPr>
              <w:t>en faveur de</w:t>
            </w:r>
            <w:r w:rsidR="00FA48D4">
              <w:rPr>
                <w:lang w:val="fr-CA"/>
              </w:rPr>
              <w:t xml:space="preserve"> l’intimée et </w:t>
            </w:r>
            <w:r w:rsidR="00E221B5">
              <w:rPr>
                <w:lang w:val="fr-CA"/>
              </w:rPr>
              <w:t>des</w:t>
            </w:r>
            <w:r w:rsidR="00FA48D4">
              <w:rPr>
                <w:lang w:val="fr-CA"/>
              </w:rPr>
              <w:t xml:space="preserve"> intervenants.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D8AAED" w14:textId="77777777" w:rsidR="009F436C" w:rsidRDefault="009F436C" w:rsidP="00382FEC">
      <w:pPr>
        <w:rPr>
          <w:lang w:val="fr-CA"/>
        </w:rPr>
      </w:pPr>
    </w:p>
    <w:p w14:paraId="7A7C5575" w14:textId="77777777" w:rsidR="00FA48D4" w:rsidRDefault="00FA48D4" w:rsidP="00382FEC">
      <w:pPr>
        <w:rPr>
          <w:lang w:val="fr-CA"/>
        </w:rPr>
      </w:pPr>
    </w:p>
    <w:p w14:paraId="2A1C5B58" w14:textId="77777777" w:rsidR="005017D0" w:rsidRDefault="005017D0" w:rsidP="00382FEC">
      <w:pPr>
        <w:rPr>
          <w:lang w:val="fr-CA"/>
        </w:rPr>
      </w:pPr>
    </w:p>
    <w:p w14:paraId="1CE8FD63" w14:textId="77777777" w:rsidR="005017D0" w:rsidRDefault="005017D0" w:rsidP="00382FEC">
      <w:pPr>
        <w:rPr>
          <w:lang w:val="fr-CA"/>
        </w:rPr>
      </w:pPr>
    </w:p>
    <w:p w14:paraId="314D7E35" w14:textId="77777777" w:rsidR="005017D0" w:rsidRDefault="005017D0" w:rsidP="00382FEC">
      <w:pPr>
        <w:rPr>
          <w:lang w:val="fr-CA"/>
        </w:rPr>
      </w:pPr>
    </w:p>
    <w:p w14:paraId="04EF766C" w14:textId="77777777" w:rsidR="005017D0" w:rsidRDefault="005017D0" w:rsidP="00382FEC">
      <w:pPr>
        <w:rPr>
          <w:lang w:val="fr-CA"/>
        </w:rPr>
      </w:pPr>
    </w:p>
    <w:p w14:paraId="719EC56E" w14:textId="77777777" w:rsidR="005017D0" w:rsidRPr="00D83B8C" w:rsidRDefault="005017D0" w:rsidP="00382FEC">
      <w:pPr>
        <w:rPr>
          <w:lang w:val="fr-CA"/>
        </w:rPr>
      </w:pPr>
    </w:p>
    <w:p w14:paraId="3ED8AAE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D8AAEF" w14:textId="77777777" w:rsidR="003A37CF" w:rsidRPr="00D83B8C" w:rsidRDefault="003A37CF" w:rsidP="007E2CD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E758E">
      <w:headerReference w:type="default" r:id="rId10"/>
      <w:footerReference w:type="default" r:id="rId11"/>
      <w:headerReference w:type="first" r:id="rId12"/>
      <w:type w:val="continuous"/>
      <w:pgSz w:w="12240" w:h="15840"/>
      <w:pgMar w:top="72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AAF2" w14:textId="77777777" w:rsidR="00983D48" w:rsidRDefault="00983D48">
      <w:r>
        <w:separator/>
      </w:r>
    </w:p>
  </w:endnote>
  <w:endnote w:type="continuationSeparator" w:id="0">
    <w:p w14:paraId="3ED8AAF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2BBB6" w14:textId="77777777" w:rsidR="00FA48D4" w:rsidRDefault="00FA4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AAF0" w14:textId="77777777" w:rsidR="00983D48" w:rsidRDefault="00983D48">
      <w:r>
        <w:separator/>
      </w:r>
    </w:p>
  </w:footnote>
  <w:footnote w:type="continuationSeparator" w:id="0">
    <w:p w14:paraId="3ED8AAF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AAF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048D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D8AAF5" w14:textId="77777777" w:rsidR="008F53F3" w:rsidRDefault="008F53F3" w:rsidP="008F53F3">
    <w:pPr>
      <w:rPr>
        <w:szCs w:val="24"/>
      </w:rPr>
    </w:pPr>
  </w:p>
  <w:p w14:paraId="3ED8AAF6" w14:textId="77777777" w:rsidR="008F53F3" w:rsidRDefault="008F53F3" w:rsidP="008F53F3">
    <w:pPr>
      <w:rPr>
        <w:szCs w:val="24"/>
      </w:rPr>
    </w:pPr>
  </w:p>
  <w:p w14:paraId="3ED8AAF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38245</w:t>
    </w:r>
    <w:r>
      <w:rPr>
        <w:szCs w:val="24"/>
      </w:rPr>
      <w:t>     </w:t>
    </w:r>
  </w:p>
  <w:p w14:paraId="3ED8AAF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D8AAF9" w14:textId="77777777" w:rsidR="0073151A" w:rsidRDefault="0073151A" w:rsidP="0073151A"/>
      <w:p w14:paraId="3ED8AAFA" w14:textId="77777777" w:rsidR="0073151A" w:rsidRPr="006E7BAE" w:rsidRDefault="0073151A" w:rsidP="0073151A"/>
      <w:p w14:paraId="3ED8AAFB" w14:textId="77777777" w:rsidR="0073151A" w:rsidRPr="006E7BAE" w:rsidRDefault="0073151A" w:rsidP="0073151A"/>
      <w:p w14:paraId="3ED8AAFC" w14:textId="77777777" w:rsidR="0073151A" w:rsidRPr="006E7BAE" w:rsidRDefault="0073151A" w:rsidP="0073151A"/>
      <w:p w14:paraId="3ED8AAFD" w14:textId="77777777" w:rsidR="0073151A" w:rsidRDefault="0073151A" w:rsidP="0073151A"/>
      <w:p w14:paraId="3ED8AAFE" w14:textId="77777777" w:rsidR="0073151A" w:rsidRDefault="0073151A" w:rsidP="0073151A"/>
      <w:p w14:paraId="3ED8AAFF" w14:textId="77777777" w:rsidR="0073151A" w:rsidRDefault="0073151A" w:rsidP="0073151A"/>
      <w:p w14:paraId="3ED8AB00" w14:textId="77777777" w:rsidR="0073151A" w:rsidRDefault="0073151A" w:rsidP="0073151A"/>
      <w:p w14:paraId="3ED8AB01" w14:textId="77777777" w:rsidR="0073151A" w:rsidRDefault="0073151A" w:rsidP="0073151A"/>
      <w:p w14:paraId="3ED8AB02" w14:textId="77777777" w:rsidR="0073151A" w:rsidRPr="006E7BAE" w:rsidRDefault="0073151A" w:rsidP="0073151A"/>
      <w:p w14:paraId="3ED8AB03" w14:textId="77777777" w:rsidR="00ED265D" w:rsidRPr="0073151A" w:rsidRDefault="00C048D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7C26"/>
    <w:rsid w:val="00087E2D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1E7A"/>
    <w:rsid w:val="002523DE"/>
    <w:rsid w:val="002568D3"/>
    <w:rsid w:val="002671A0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17D0"/>
    <w:rsid w:val="005276A7"/>
    <w:rsid w:val="00543EDD"/>
    <w:rsid w:val="0055345D"/>
    <w:rsid w:val="00563E2C"/>
    <w:rsid w:val="00587869"/>
    <w:rsid w:val="00612913"/>
    <w:rsid w:val="00614908"/>
    <w:rsid w:val="00650109"/>
    <w:rsid w:val="0068140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2CD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196E"/>
    <w:rsid w:val="008E758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48D5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4265"/>
    <w:rsid w:val="00E10A82"/>
    <w:rsid w:val="00E12A51"/>
    <w:rsid w:val="00E221B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6CE4"/>
    <w:rsid w:val="00FA48D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ED8A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8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8D4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4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2AD5-E3A6-488D-87D4-46AF8549E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59293-F0DD-4115-A30E-9400EE694CB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40ae4924-d04e-473c-aafa-3657aad971d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1251F6-320C-4FED-8D8B-3B0DD9CA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EBDDA-1FE8-4DBC-99D5-55F92B39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2019-03-11T13:50:00Z</dcterms:created>
  <dcterms:modified xsi:type="dcterms:W3CDTF">2019-03-11T13:50:00Z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