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20731" w14:textId="77777777" w:rsidR="00CE16BC" w:rsidRDefault="00CE16BC" w:rsidP="00AE2077">
      <w:pPr>
        <w:jc w:val="right"/>
        <w:rPr>
          <w:szCs w:val="24"/>
        </w:rPr>
      </w:pPr>
      <w:bookmarkStart w:id="0" w:name="_GoBack"/>
      <w:bookmarkEnd w:id="0"/>
    </w:p>
    <w:p w14:paraId="12DAA3B1" w14:textId="77777777" w:rsidR="00CE16BC" w:rsidRDefault="00CE16BC" w:rsidP="00AE2077">
      <w:pPr>
        <w:jc w:val="right"/>
        <w:rPr>
          <w:szCs w:val="24"/>
        </w:rPr>
      </w:pPr>
    </w:p>
    <w:p w14:paraId="58A34866" w14:textId="20BAC6F8" w:rsidR="009F436C" w:rsidRPr="00C338CD" w:rsidRDefault="00BD2A96" w:rsidP="00AE2077">
      <w:pPr>
        <w:jc w:val="right"/>
      </w:pPr>
      <w:r w:rsidRPr="00C338CD">
        <w:rPr>
          <w:szCs w:val="24"/>
        </w:rPr>
        <w:t>N</w:t>
      </w:r>
      <w:r w:rsidR="00401F8B" w:rsidRPr="00C338CD">
        <w:rPr>
          <w:szCs w:val="24"/>
        </w:rPr>
        <w:t>o.</w:t>
      </w:r>
      <w:r w:rsidR="003A37CF" w:rsidRPr="00C338CD">
        <w:t xml:space="preserve"> </w:t>
      </w:r>
      <w:r w:rsidRPr="00C338CD">
        <w:t>38564</w:t>
      </w:r>
      <w:r w:rsidR="00E81C0B" w:rsidRPr="00C338CD">
        <w:t>     </w:t>
      </w:r>
    </w:p>
    <w:p w14:paraId="58A34867" w14:textId="77777777" w:rsidR="009F436C" w:rsidRPr="00C338CD" w:rsidRDefault="009F436C" w:rsidP="00382FEC"/>
    <w:p w14:paraId="58A34868" w14:textId="77777777" w:rsidR="003C744C" w:rsidRPr="00C338CD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C338CD" w14:paraId="58A3486C" w14:textId="77777777" w:rsidTr="00B37A52">
        <w:tc>
          <w:tcPr>
            <w:tcW w:w="2269" w:type="pct"/>
          </w:tcPr>
          <w:p w14:paraId="58A34869" w14:textId="2C25D58B" w:rsidR="00417FB7" w:rsidRPr="00C338CD" w:rsidRDefault="00401F8B" w:rsidP="008262A3">
            <w:r w:rsidRPr="00C338CD">
              <w:t>July 18, 2019</w:t>
            </w:r>
          </w:p>
        </w:tc>
        <w:tc>
          <w:tcPr>
            <w:tcW w:w="381" w:type="pct"/>
          </w:tcPr>
          <w:p w14:paraId="58A3486A" w14:textId="77777777" w:rsidR="00417FB7" w:rsidRPr="00C338CD" w:rsidRDefault="00417FB7" w:rsidP="00382FEC"/>
        </w:tc>
        <w:tc>
          <w:tcPr>
            <w:tcW w:w="2350" w:type="pct"/>
          </w:tcPr>
          <w:p w14:paraId="58A3486B" w14:textId="4C78E312" w:rsidR="00417FB7" w:rsidRPr="00C338CD" w:rsidRDefault="00401F8B" w:rsidP="0027081E">
            <w:r w:rsidRPr="00C338CD">
              <w:t>Le 18 juillet 2019</w:t>
            </w:r>
          </w:p>
        </w:tc>
      </w:tr>
      <w:tr w:rsidR="00C2612E" w:rsidRPr="00C338CD" w14:paraId="58A3487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8A3486D" w14:textId="77777777" w:rsidR="00C2612E" w:rsidRPr="00C338CD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A3486E" w14:textId="77777777" w:rsidR="00C2612E" w:rsidRPr="00C338CD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A3486F" w14:textId="77777777" w:rsidR="00C2612E" w:rsidRPr="00C338CD" w:rsidRDefault="00C2612E" w:rsidP="00382FEC"/>
        </w:tc>
      </w:tr>
      <w:tr w:rsidR="00824412" w:rsidRPr="00C338CD" w14:paraId="58A3487F" w14:textId="77777777" w:rsidTr="006A1E6D">
        <w:tc>
          <w:tcPr>
            <w:tcW w:w="2269" w:type="pct"/>
          </w:tcPr>
          <w:p w14:paraId="58A34871" w14:textId="7CE4007F" w:rsidR="0004491A" w:rsidRPr="00C338CD" w:rsidRDefault="00401F8B">
            <w:pPr>
              <w:pStyle w:val="SCCLsocPrefix"/>
              <w:rPr>
                <w:lang w:val="en-US"/>
              </w:rPr>
            </w:pPr>
            <w:r w:rsidRPr="00C338CD">
              <w:rPr>
                <w:lang w:val="en-US"/>
              </w:rPr>
              <w:t>BETWEEN:</w:t>
            </w:r>
            <w:r w:rsidR="001341A9" w:rsidRPr="00C338CD">
              <w:rPr>
                <w:lang w:val="en-US"/>
              </w:rPr>
              <w:br/>
            </w:r>
          </w:p>
          <w:p w14:paraId="1C26FE04" w14:textId="42A3D2E1" w:rsidR="00401F8B" w:rsidRPr="00C338CD" w:rsidRDefault="00401F8B" w:rsidP="00401F8B">
            <w:pPr>
              <w:pStyle w:val="SCCLsocParty"/>
              <w:rPr>
                <w:lang w:val="en-US"/>
              </w:rPr>
            </w:pPr>
            <w:r w:rsidRPr="00C338CD">
              <w:rPr>
                <w:lang w:val="en-US"/>
              </w:rPr>
              <w:t xml:space="preserve">O’Leary Funds Management LP, </w:t>
            </w:r>
            <w:r w:rsidR="00595E45" w:rsidRPr="00C338CD">
              <w:rPr>
                <w:lang w:val="en-US"/>
              </w:rPr>
              <w:t xml:space="preserve">Canoe Financial LP, </w:t>
            </w:r>
            <w:r w:rsidR="00E16CD5" w:rsidRPr="00C338CD">
              <w:rPr>
                <w:lang w:val="en-US"/>
              </w:rPr>
              <w:t xml:space="preserve">Canoe Global Growth and Income Fund, Canoe Canadian High Income Fund, </w:t>
            </w:r>
            <w:r w:rsidRPr="00C338CD">
              <w:rPr>
                <w:lang w:val="en-US"/>
              </w:rPr>
              <w:t xml:space="preserve">O’Leary Canadian Equity Income Fund, O’Leary Strategic Yield Fund, </w:t>
            </w:r>
            <w:r w:rsidR="00E16CD5" w:rsidRPr="00C338CD">
              <w:rPr>
                <w:lang w:val="en-US"/>
              </w:rPr>
              <w:t xml:space="preserve">Canoe Global Balanced Fund, </w:t>
            </w:r>
            <w:r w:rsidRPr="00C338CD">
              <w:rPr>
                <w:lang w:val="en-US"/>
              </w:rPr>
              <w:t>O’Leary Global Yield Opportunities Fund, O’Leary Hard Asset Income Fund</w:t>
            </w:r>
            <w:r w:rsidR="00E979C1" w:rsidRPr="00C338CD">
              <w:rPr>
                <w:lang w:val="en-US"/>
              </w:rPr>
              <w:t xml:space="preserve"> and</w:t>
            </w:r>
            <w:r w:rsidRPr="00C338CD">
              <w:rPr>
                <w:lang w:val="en-US"/>
              </w:rPr>
              <w:t xml:space="preserve"> Canoe ‘Go Canada!’ Fund Corp.</w:t>
            </w:r>
          </w:p>
          <w:p w14:paraId="1EEBABF5" w14:textId="21DDEB50" w:rsidR="00401F8B" w:rsidRDefault="00401F8B" w:rsidP="00401F8B">
            <w:pPr>
              <w:pStyle w:val="SCCLsocParty"/>
              <w:rPr>
                <w:lang w:val="en-US"/>
              </w:rPr>
            </w:pPr>
          </w:p>
          <w:p w14:paraId="79CF88AA" w14:textId="77777777" w:rsidR="00C338CD" w:rsidRPr="00C338CD" w:rsidRDefault="00C338CD" w:rsidP="00C338CD">
            <w:pPr>
              <w:rPr>
                <w:lang w:val="en-US"/>
              </w:rPr>
            </w:pPr>
          </w:p>
          <w:p w14:paraId="52309AF0" w14:textId="77777777" w:rsidR="00401F8B" w:rsidRPr="00C338CD" w:rsidRDefault="00401F8B" w:rsidP="00401F8B">
            <w:pPr>
              <w:pStyle w:val="SCCLsocPartyRole"/>
              <w:rPr>
                <w:lang w:val="en-US"/>
              </w:rPr>
            </w:pPr>
            <w:r w:rsidRPr="00C338CD">
              <w:rPr>
                <w:lang w:val="en-US"/>
              </w:rPr>
              <w:t>Applicants</w:t>
            </w:r>
            <w:r w:rsidRPr="00C338CD">
              <w:rPr>
                <w:lang w:val="en-US"/>
              </w:rPr>
              <w:br/>
            </w:r>
          </w:p>
          <w:p w14:paraId="2DB4C739" w14:textId="77777777" w:rsidR="00401F8B" w:rsidRPr="00C338CD" w:rsidRDefault="00401F8B" w:rsidP="00401F8B">
            <w:pPr>
              <w:pStyle w:val="SCCLsocVersus"/>
              <w:rPr>
                <w:lang w:val="en-US"/>
              </w:rPr>
            </w:pPr>
            <w:r w:rsidRPr="00C338CD">
              <w:rPr>
                <w:lang w:val="en-US"/>
              </w:rPr>
              <w:t>- and -</w:t>
            </w:r>
            <w:r w:rsidRPr="00C338CD">
              <w:rPr>
                <w:lang w:val="en-US"/>
              </w:rPr>
              <w:br/>
            </w:r>
          </w:p>
          <w:p w14:paraId="0B4BADFA" w14:textId="77777777" w:rsidR="00401F8B" w:rsidRPr="00C338CD" w:rsidRDefault="00401F8B" w:rsidP="00401F8B">
            <w:pPr>
              <w:pStyle w:val="SCCLsocParty"/>
              <w:rPr>
                <w:lang w:val="en-US"/>
              </w:rPr>
            </w:pPr>
            <w:r w:rsidRPr="00C338CD">
              <w:rPr>
                <w:lang w:val="en-US"/>
              </w:rPr>
              <w:t>Boralex Inc., 7503679 Canada Inc., Boralex Power Income Fund, Computershare Trust Company of Canada, Claude Boivin, Marcel Aubut, Michel Côté, Jean E. Douville and Alain Rhéaume</w:t>
            </w:r>
            <w:r w:rsidRPr="00C338CD">
              <w:rPr>
                <w:lang w:val="en-US"/>
              </w:rPr>
              <w:br/>
            </w:r>
          </w:p>
          <w:p w14:paraId="58A34876" w14:textId="715E023F" w:rsidR="0004491A" w:rsidRPr="00C338CD" w:rsidRDefault="00401F8B" w:rsidP="00401F8B">
            <w:pPr>
              <w:pStyle w:val="SCCLsocPartyRole"/>
            </w:pPr>
            <w:r w:rsidRPr="00C338CD">
              <w:t>Respondents</w:t>
            </w:r>
          </w:p>
        </w:tc>
        <w:tc>
          <w:tcPr>
            <w:tcW w:w="381" w:type="pct"/>
          </w:tcPr>
          <w:p w14:paraId="58A34877" w14:textId="77777777" w:rsidR="00824412" w:rsidRPr="00C338CD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8A34878" w14:textId="0F6388E6" w:rsidR="0004491A" w:rsidRPr="00C338CD" w:rsidRDefault="00401F8B">
            <w:pPr>
              <w:pStyle w:val="SCCLsocPrefix"/>
            </w:pPr>
            <w:r w:rsidRPr="00C338CD">
              <w:t>ENTRE :</w:t>
            </w:r>
            <w:r w:rsidR="001341A9" w:rsidRPr="00C338CD">
              <w:br/>
            </w:r>
          </w:p>
          <w:p w14:paraId="3CED30C6" w14:textId="1708204B" w:rsidR="00401F8B" w:rsidRPr="00C338CD" w:rsidRDefault="00401F8B" w:rsidP="00401F8B">
            <w:pPr>
              <w:pStyle w:val="SCCLsocParty"/>
            </w:pPr>
            <w:r w:rsidRPr="00C338CD">
              <w:t xml:space="preserve">Gestion de fonds O’Leary, S.E.C., </w:t>
            </w:r>
            <w:r w:rsidR="00595E45" w:rsidRPr="00C338CD">
              <w:t xml:space="preserve">Canoe Financial LP, </w:t>
            </w:r>
            <w:r w:rsidR="00E16CD5" w:rsidRPr="00C338CD">
              <w:t xml:space="preserve">Fonds mondial de croissance et de revenu Canoe, Fonds de revenu élevé canadien Canoe, </w:t>
            </w:r>
            <w:r w:rsidRPr="00C338CD">
              <w:t xml:space="preserve">Fonds de revenu d’actions canadiennes O’Leary, Fonds de rendement stratégique O’Leary, </w:t>
            </w:r>
            <w:r w:rsidR="00E16CD5" w:rsidRPr="00C338CD">
              <w:t xml:space="preserve">Fonds mondial équilibré Canoe, </w:t>
            </w:r>
            <w:r w:rsidRPr="00C338CD">
              <w:t>Fonds mondial d</w:t>
            </w:r>
            <w:r w:rsidR="00E979C1" w:rsidRPr="00C338CD">
              <w:t>’</w:t>
            </w:r>
            <w:r w:rsidRPr="00C338CD">
              <w:t>occasions de rendement O</w:t>
            </w:r>
            <w:r w:rsidR="00E979C1" w:rsidRPr="00C338CD">
              <w:t>’</w:t>
            </w:r>
            <w:r w:rsidRPr="00C338CD">
              <w:t>Leary, Fonds de revenu de biens durables O’Leary</w:t>
            </w:r>
            <w:r w:rsidR="00E979C1" w:rsidRPr="00C338CD">
              <w:t xml:space="preserve"> et</w:t>
            </w:r>
            <w:r w:rsidRPr="00C338CD">
              <w:t xml:space="preserve"> Canoe </w:t>
            </w:r>
            <w:r w:rsidR="00E979C1" w:rsidRPr="00C338CD">
              <w:t>‘</w:t>
            </w:r>
            <w:r w:rsidRPr="00C338CD">
              <w:t>Go Canada!</w:t>
            </w:r>
            <w:r w:rsidR="00E979C1" w:rsidRPr="00C338CD">
              <w:t>’</w:t>
            </w:r>
            <w:r w:rsidRPr="00C338CD">
              <w:t xml:space="preserve"> Fund Corp.</w:t>
            </w:r>
            <w:r w:rsidRPr="00C338CD">
              <w:br/>
            </w:r>
          </w:p>
          <w:p w14:paraId="7274ED13" w14:textId="77777777" w:rsidR="00401F8B" w:rsidRPr="00C338CD" w:rsidRDefault="00401F8B" w:rsidP="00401F8B">
            <w:pPr>
              <w:pStyle w:val="SCCLsocPartyRole"/>
            </w:pPr>
            <w:r w:rsidRPr="00C338CD">
              <w:t>Demandeurs</w:t>
            </w:r>
            <w:r w:rsidRPr="00C338CD">
              <w:br/>
            </w:r>
          </w:p>
          <w:p w14:paraId="0AB7E73E" w14:textId="77777777" w:rsidR="00401F8B" w:rsidRPr="00C338CD" w:rsidRDefault="00401F8B" w:rsidP="00401F8B">
            <w:pPr>
              <w:pStyle w:val="SCCLsocVersus"/>
            </w:pPr>
            <w:r w:rsidRPr="00C338CD">
              <w:t>- et -</w:t>
            </w:r>
            <w:r w:rsidRPr="00C338CD">
              <w:br/>
            </w:r>
          </w:p>
          <w:p w14:paraId="4C2EFA62" w14:textId="751CFF25" w:rsidR="00401F8B" w:rsidRPr="00C338CD" w:rsidRDefault="00401F8B" w:rsidP="00401F8B">
            <w:pPr>
              <w:pStyle w:val="SCCLsocParty"/>
            </w:pPr>
            <w:r w:rsidRPr="00C338CD">
              <w:t xml:space="preserve">Boralex Inc., 7503679 Canada Inc., </w:t>
            </w:r>
            <w:r w:rsidR="0077384B" w:rsidRPr="00C338CD">
              <w:t>Fonds de revenu Boralex énergie</w:t>
            </w:r>
            <w:r w:rsidRPr="00C338CD">
              <w:t xml:space="preserve">, </w:t>
            </w:r>
            <w:r w:rsidR="0077384B" w:rsidRPr="00C338CD">
              <w:t>Société de fiducie Computershare du Canada</w:t>
            </w:r>
            <w:r w:rsidRPr="00C338CD">
              <w:t>, Claude Boivin, Marcel Aubut, Michel Côté, Jean E. Douville et Alain Rhéaume</w:t>
            </w:r>
            <w:r w:rsidRPr="00C338CD">
              <w:br/>
            </w:r>
          </w:p>
          <w:p w14:paraId="3E890E18" w14:textId="77777777" w:rsidR="00401F8B" w:rsidRPr="00C338CD" w:rsidRDefault="00401F8B" w:rsidP="00401F8B"/>
          <w:p w14:paraId="58A3487E" w14:textId="05FAF465" w:rsidR="0004491A" w:rsidRPr="00C338CD" w:rsidRDefault="00401F8B" w:rsidP="00401F8B">
            <w:pPr>
              <w:pStyle w:val="SCCLsocParty"/>
              <w:rPr>
                <w:lang w:val="en-US"/>
              </w:rPr>
            </w:pPr>
            <w:r w:rsidRPr="00C338CD">
              <w:rPr>
                <w:lang w:val="en-US"/>
              </w:rPr>
              <w:t>Intimés</w:t>
            </w:r>
          </w:p>
        </w:tc>
      </w:tr>
      <w:tr w:rsidR="00824412" w:rsidRPr="00C338CD" w14:paraId="58A3488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8A34880" w14:textId="77777777" w:rsidR="00824412" w:rsidRPr="00C338CD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A34881" w14:textId="77777777" w:rsidR="00824412" w:rsidRPr="00C338CD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A34882" w14:textId="77777777" w:rsidR="00824412" w:rsidRPr="00C338CD" w:rsidRDefault="00824412" w:rsidP="00B408F8">
            <w:pPr>
              <w:rPr>
                <w:lang w:val="en-CA"/>
              </w:rPr>
            </w:pPr>
          </w:p>
        </w:tc>
      </w:tr>
      <w:tr w:rsidR="00824412" w:rsidRPr="00C338CD" w14:paraId="58A3488D" w14:textId="77777777" w:rsidTr="00B37A52">
        <w:tc>
          <w:tcPr>
            <w:tcW w:w="2269" w:type="pct"/>
          </w:tcPr>
          <w:p w14:paraId="58A34884" w14:textId="5C804C05" w:rsidR="0027081E" w:rsidRPr="00C338CD" w:rsidRDefault="00401F8B" w:rsidP="0027081E">
            <w:pPr>
              <w:jc w:val="center"/>
              <w:rPr>
                <w:lang w:val="en-US"/>
              </w:rPr>
            </w:pPr>
            <w:r w:rsidRPr="00C338CD">
              <w:rPr>
                <w:lang w:val="en-CA"/>
              </w:rPr>
              <w:t>JUDGMENT</w:t>
            </w:r>
          </w:p>
          <w:p w14:paraId="58A34885" w14:textId="77777777" w:rsidR="0027081E" w:rsidRPr="00C338CD" w:rsidRDefault="0027081E" w:rsidP="0027081E">
            <w:pPr>
              <w:jc w:val="center"/>
              <w:rPr>
                <w:lang w:val="en-US"/>
              </w:rPr>
            </w:pPr>
          </w:p>
          <w:p w14:paraId="6D7D227B" w14:textId="74751CBC" w:rsidR="00401F8B" w:rsidRPr="00C338CD" w:rsidRDefault="00401F8B" w:rsidP="00401F8B">
            <w:pPr>
              <w:jc w:val="both"/>
              <w:rPr>
                <w:lang w:val="en-US"/>
              </w:rPr>
            </w:pPr>
            <w:r w:rsidRPr="00C338CD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C338CD">
              <w:rPr>
                <w:lang w:val="en-CA"/>
              </w:rPr>
              <w:t xml:space="preserve"> </w:t>
            </w:r>
            <w:r w:rsidRPr="00C338CD">
              <w:rPr>
                <w:lang w:val="en-US"/>
              </w:rPr>
              <w:t xml:space="preserve">Court of Appeal of Quebec </w:t>
            </w:r>
            <w:r w:rsidRPr="00C338CD">
              <w:rPr>
                <w:lang w:val="en-US"/>
              </w:rPr>
              <w:lastRenderedPageBreak/>
              <w:t>(Montréal)</w:t>
            </w:r>
            <w:r w:rsidRPr="00C338CD">
              <w:rPr>
                <w:lang w:val="en-CA"/>
              </w:rPr>
              <w:t xml:space="preserve">, Number </w:t>
            </w:r>
            <w:r w:rsidRPr="00C338CD">
              <w:rPr>
                <w:lang w:val="en-US"/>
              </w:rPr>
              <w:t>500-09-027409-184</w:t>
            </w:r>
            <w:r w:rsidRPr="00C338CD">
              <w:rPr>
                <w:lang w:val="en-CA"/>
              </w:rPr>
              <w:t xml:space="preserve">, </w:t>
            </w:r>
            <w:r w:rsidRPr="00C338CD">
              <w:rPr>
                <w:lang w:val="en-US"/>
              </w:rPr>
              <w:t xml:space="preserve">2019 QCCA 84, </w:t>
            </w:r>
            <w:r w:rsidRPr="00C338CD">
              <w:rPr>
                <w:lang w:val="en-CA"/>
              </w:rPr>
              <w:t xml:space="preserve">dated </w:t>
            </w:r>
            <w:r w:rsidRPr="00C338CD">
              <w:rPr>
                <w:lang w:val="en-US"/>
              </w:rPr>
              <w:t>January 21, 2019,</w:t>
            </w:r>
            <w:r w:rsidRPr="00C338CD">
              <w:rPr>
                <w:lang w:val="en-CA"/>
              </w:rPr>
              <w:t xml:space="preserve"> is </w:t>
            </w:r>
            <w:r w:rsidRPr="00C338CD">
              <w:rPr>
                <w:lang w:val="en-US"/>
              </w:rPr>
              <w:t>dismissed with costs to</w:t>
            </w:r>
            <w:r w:rsidR="00A57275" w:rsidRPr="00C338CD">
              <w:rPr>
                <w:lang w:val="en-US"/>
              </w:rPr>
              <w:t xml:space="preserve"> the respondents, </w:t>
            </w:r>
            <w:r w:rsidRPr="00C338CD">
              <w:rPr>
                <w:lang w:val="en-US"/>
              </w:rPr>
              <w:t xml:space="preserve"> Boralex Inc., 7503679 Canada Inc. </w:t>
            </w:r>
            <w:r w:rsidR="00A57275" w:rsidRPr="00C338CD">
              <w:rPr>
                <w:lang w:val="en-US"/>
              </w:rPr>
              <w:t>a</w:t>
            </w:r>
            <w:r w:rsidRPr="00C338CD">
              <w:rPr>
                <w:lang w:val="en-US"/>
              </w:rPr>
              <w:t>nd Boralex Power Income Fund.</w:t>
            </w:r>
          </w:p>
          <w:p w14:paraId="384C6743" w14:textId="77777777" w:rsidR="006F466F" w:rsidRPr="00C338CD" w:rsidRDefault="006F466F" w:rsidP="00401F8B">
            <w:pPr>
              <w:jc w:val="both"/>
              <w:rPr>
                <w:lang w:val="en-US"/>
              </w:rPr>
            </w:pPr>
          </w:p>
          <w:p w14:paraId="662240F1" w14:textId="292AC277" w:rsidR="006F466F" w:rsidRPr="00C338CD" w:rsidRDefault="006F466F" w:rsidP="00401F8B">
            <w:pPr>
              <w:jc w:val="both"/>
              <w:rPr>
                <w:lang w:val="en-US"/>
              </w:rPr>
            </w:pPr>
            <w:r w:rsidRPr="00C338CD">
              <w:rPr>
                <w:lang w:val="en-US"/>
              </w:rPr>
              <w:t>Côté J. took no part in the judgment.</w:t>
            </w:r>
          </w:p>
          <w:p w14:paraId="58A34886" w14:textId="7B0442A1" w:rsidR="00622562" w:rsidRPr="00C338CD" w:rsidRDefault="00622562" w:rsidP="001341A9">
            <w:pPr>
              <w:jc w:val="both"/>
              <w:rPr>
                <w:lang w:val="en-US"/>
              </w:rPr>
            </w:pPr>
          </w:p>
        </w:tc>
        <w:tc>
          <w:tcPr>
            <w:tcW w:w="381" w:type="pct"/>
          </w:tcPr>
          <w:p w14:paraId="58A34887" w14:textId="77777777" w:rsidR="00824412" w:rsidRPr="00C338CD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541CCC94" w14:textId="60CF71CA" w:rsidR="00401F8B" w:rsidRPr="00C338CD" w:rsidRDefault="00401F8B" w:rsidP="00401F8B">
            <w:pPr>
              <w:jc w:val="center"/>
            </w:pPr>
            <w:r w:rsidRPr="00C338CD">
              <w:t>JUGEMENT</w:t>
            </w:r>
          </w:p>
          <w:p w14:paraId="58A34889" w14:textId="77777777" w:rsidR="0027081E" w:rsidRPr="00C338CD" w:rsidRDefault="0027081E" w:rsidP="00401F8B"/>
          <w:p w14:paraId="170966B0" w14:textId="37011F1B" w:rsidR="00401F8B" w:rsidRPr="00C338CD" w:rsidRDefault="00401F8B" w:rsidP="006C1359">
            <w:pPr>
              <w:jc w:val="both"/>
            </w:pPr>
            <w:r w:rsidRPr="00C338CD">
              <w:t xml:space="preserve">La demande d’autorisation d’appel de l’arrêt de la Cour d’appel du Québec (Montréal), </w:t>
            </w:r>
            <w:r w:rsidRPr="00C338CD">
              <w:lastRenderedPageBreak/>
              <w:t>numéro 500-09-027409-184, 2019 QCCA 84, daté du 21 janvier 2019, est rejet</w:t>
            </w:r>
            <w:r w:rsidRPr="00C338CD">
              <w:rPr>
                <w:rFonts w:cs="Times New Roman"/>
              </w:rPr>
              <w:t>é</w:t>
            </w:r>
            <w:r w:rsidRPr="00C338CD">
              <w:t>e avec d</w:t>
            </w:r>
            <w:r w:rsidRPr="00C338CD">
              <w:rPr>
                <w:rFonts w:cs="Times New Roman"/>
              </w:rPr>
              <w:t>é</w:t>
            </w:r>
            <w:r w:rsidRPr="00C338CD">
              <w:t>pens en faveur d</w:t>
            </w:r>
            <w:r w:rsidR="00A57275" w:rsidRPr="00C338CD">
              <w:t>es intimés,</w:t>
            </w:r>
            <w:r w:rsidRPr="00C338CD">
              <w:t xml:space="preserve"> Boralex Inc., 7503679 Canada Inc. </w:t>
            </w:r>
            <w:r w:rsidR="00A57275" w:rsidRPr="00C338CD">
              <w:t>et</w:t>
            </w:r>
            <w:r w:rsidRPr="00C338CD">
              <w:t xml:space="preserve"> </w:t>
            </w:r>
            <w:r w:rsidR="00A57275" w:rsidRPr="00C338CD">
              <w:t>Fonds de revenu Boralex énergie</w:t>
            </w:r>
            <w:r w:rsidRPr="00C338CD">
              <w:t>.</w:t>
            </w:r>
          </w:p>
          <w:p w14:paraId="047A2B9A" w14:textId="77777777" w:rsidR="00E46230" w:rsidRPr="00C338CD" w:rsidRDefault="00E46230" w:rsidP="006C1359">
            <w:pPr>
              <w:jc w:val="both"/>
            </w:pPr>
          </w:p>
          <w:p w14:paraId="5DE75A5B" w14:textId="477D7EA1" w:rsidR="00E46230" w:rsidRPr="00C338CD" w:rsidRDefault="00E46230" w:rsidP="006C1359">
            <w:pPr>
              <w:jc w:val="both"/>
            </w:pPr>
            <w:r w:rsidRPr="00C338CD">
              <w:t xml:space="preserve">La juge </w:t>
            </w:r>
            <w:r w:rsidRPr="00C338CD">
              <w:rPr>
                <w:rStyle w:val="solexhl"/>
              </w:rPr>
              <w:t>Côté</w:t>
            </w:r>
            <w:r w:rsidRPr="00C338CD">
              <w:t xml:space="preserve"> n’a pas participé au jugement.</w:t>
            </w:r>
          </w:p>
          <w:p w14:paraId="58A3488B" w14:textId="77777777" w:rsidR="00622562" w:rsidRPr="00C338CD" w:rsidRDefault="00622562" w:rsidP="006C1359">
            <w:pPr>
              <w:jc w:val="both"/>
            </w:pPr>
          </w:p>
          <w:p w14:paraId="58A3488C" w14:textId="77777777" w:rsidR="00622562" w:rsidRPr="00C338CD" w:rsidRDefault="00622562" w:rsidP="006C1359">
            <w:pPr>
              <w:jc w:val="both"/>
            </w:pPr>
          </w:p>
        </w:tc>
      </w:tr>
    </w:tbl>
    <w:p w14:paraId="58A3488E" w14:textId="77777777" w:rsidR="009F436C" w:rsidRPr="00C338CD" w:rsidRDefault="009F436C" w:rsidP="00382FEC"/>
    <w:p w14:paraId="58A3488F" w14:textId="77777777" w:rsidR="009F436C" w:rsidRPr="00C338CD" w:rsidRDefault="009F436C" w:rsidP="00417FB7">
      <w:pPr>
        <w:jc w:val="center"/>
      </w:pPr>
    </w:p>
    <w:p w14:paraId="58A34890" w14:textId="77777777" w:rsidR="001341A9" w:rsidRPr="00C338CD" w:rsidRDefault="001341A9" w:rsidP="00417FB7">
      <w:pPr>
        <w:jc w:val="center"/>
      </w:pPr>
    </w:p>
    <w:p w14:paraId="58A34893" w14:textId="77777777" w:rsidR="001341A9" w:rsidRPr="00C338CD" w:rsidRDefault="001341A9" w:rsidP="00417FB7">
      <w:pPr>
        <w:jc w:val="center"/>
      </w:pPr>
    </w:p>
    <w:p w14:paraId="58A34894" w14:textId="77777777" w:rsidR="001341A9" w:rsidRDefault="001341A9" w:rsidP="00417FB7">
      <w:pPr>
        <w:jc w:val="center"/>
      </w:pPr>
    </w:p>
    <w:p w14:paraId="29BADA8B" w14:textId="77777777" w:rsidR="00C338CD" w:rsidRPr="00C338CD" w:rsidRDefault="00C338CD" w:rsidP="00417FB7">
      <w:pPr>
        <w:jc w:val="center"/>
      </w:pPr>
    </w:p>
    <w:p w14:paraId="58A34895" w14:textId="77777777" w:rsidR="009F436C" w:rsidRPr="00C338CD" w:rsidRDefault="009F436C" w:rsidP="00417FB7">
      <w:pPr>
        <w:jc w:val="center"/>
      </w:pPr>
    </w:p>
    <w:p w14:paraId="58A34896" w14:textId="5570136C" w:rsidR="00655333" w:rsidRPr="00C338CD" w:rsidRDefault="00401F8B" w:rsidP="00655333">
      <w:pPr>
        <w:jc w:val="center"/>
      </w:pPr>
      <w:r w:rsidRPr="00C338CD">
        <w:t>C.J.C.</w:t>
      </w:r>
    </w:p>
    <w:p w14:paraId="58A34897" w14:textId="42C1688B" w:rsidR="00655333" w:rsidRPr="0019299E" w:rsidRDefault="00401F8B" w:rsidP="00655333">
      <w:pPr>
        <w:jc w:val="center"/>
      </w:pPr>
      <w:r w:rsidRPr="00C338CD">
        <w:t>J.C.C.</w:t>
      </w:r>
    </w:p>
    <w:p w14:paraId="58A34898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3489B" w14:textId="77777777" w:rsidR="00D27D4E" w:rsidRDefault="00D27D4E">
      <w:r>
        <w:separator/>
      </w:r>
    </w:p>
  </w:endnote>
  <w:endnote w:type="continuationSeparator" w:id="0">
    <w:p w14:paraId="58A3489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34899" w14:textId="77777777" w:rsidR="00D27D4E" w:rsidRDefault="00D27D4E">
      <w:r>
        <w:separator/>
      </w:r>
    </w:p>
  </w:footnote>
  <w:footnote w:type="continuationSeparator" w:id="0">
    <w:p w14:paraId="58A3489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3489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617B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A3489E" w14:textId="77777777" w:rsidR="00401B64" w:rsidRDefault="00401B64" w:rsidP="00401B64">
    <w:pPr>
      <w:rPr>
        <w:szCs w:val="24"/>
      </w:rPr>
    </w:pPr>
  </w:p>
  <w:p w14:paraId="58A3489F" w14:textId="77777777" w:rsidR="00401B64" w:rsidRDefault="00401B64" w:rsidP="00401B64">
    <w:pPr>
      <w:rPr>
        <w:szCs w:val="24"/>
      </w:rPr>
    </w:pPr>
  </w:p>
  <w:p w14:paraId="58A348A0" w14:textId="15D9AF0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 w:rsidR="00401F8B">
      <w:rPr>
        <w:szCs w:val="24"/>
      </w:rPr>
      <w:t>o.</w:t>
    </w:r>
    <w:r w:rsidR="00401B64">
      <w:rPr>
        <w:szCs w:val="24"/>
      </w:rPr>
      <w:t xml:space="preserve"> </w:t>
    </w:r>
    <w:r>
      <w:t>38564</w:t>
    </w:r>
    <w:r w:rsidR="00401B64">
      <w:rPr>
        <w:szCs w:val="24"/>
      </w:rPr>
      <w:t>     </w:t>
    </w:r>
  </w:p>
  <w:p w14:paraId="58A348A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8A348A2" w14:textId="77777777" w:rsidR="000452C9" w:rsidRDefault="000452C9" w:rsidP="000452C9"/>
      <w:p w14:paraId="58A348A3" w14:textId="77777777" w:rsidR="000452C9" w:rsidRPr="001E26DB" w:rsidRDefault="000452C9" w:rsidP="000452C9"/>
      <w:p w14:paraId="58A348A4" w14:textId="77777777" w:rsidR="000452C9" w:rsidRPr="001E26DB" w:rsidRDefault="000452C9" w:rsidP="000452C9"/>
      <w:p w14:paraId="58A348A5" w14:textId="77777777" w:rsidR="000452C9" w:rsidRDefault="000452C9" w:rsidP="000452C9"/>
      <w:p w14:paraId="58A348A6" w14:textId="77777777" w:rsidR="000452C9" w:rsidRDefault="000452C9" w:rsidP="000452C9"/>
      <w:p w14:paraId="58A348A7" w14:textId="77777777" w:rsidR="000452C9" w:rsidRDefault="000452C9" w:rsidP="000452C9"/>
      <w:p w14:paraId="58A348A8" w14:textId="77777777" w:rsidR="000452C9" w:rsidRDefault="000452C9" w:rsidP="000452C9"/>
      <w:p w14:paraId="58A348A9" w14:textId="77777777" w:rsidR="000452C9" w:rsidRPr="001E26DB" w:rsidRDefault="000452C9" w:rsidP="000452C9"/>
      <w:p w14:paraId="58A348AA" w14:textId="77777777" w:rsidR="000452C9" w:rsidRPr="001E26DB" w:rsidRDefault="000452C9" w:rsidP="000452C9"/>
      <w:p w14:paraId="58A348AB" w14:textId="77777777" w:rsidR="000452C9" w:rsidRDefault="000452C9" w:rsidP="000452C9">
        <w:pPr>
          <w:pStyle w:val="Header"/>
        </w:pPr>
      </w:p>
      <w:p w14:paraId="58A348AC" w14:textId="77777777" w:rsidR="001D6D96" w:rsidRPr="000452C9" w:rsidRDefault="001617B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491A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41A9"/>
    <w:rsid w:val="001617B4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1F8B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5E45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6F466F"/>
    <w:rsid w:val="00701109"/>
    <w:rsid w:val="007372EA"/>
    <w:rsid w:val="0076003F"/>
    <w:rsid w:val="0077384B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2837"/>
    <w:rsid w:val="009E664B"/>
    <w:rsid w:val="009E7A46"/>
    <w:rsid w:val="009F436C"/>
    <w:rsid w:val="00A03153"/>
    <w:rsid w:val="00A05DBA"/>
    <w:rsid w:val="00A103E3"/>
    <w:rsid w:val="00A14904"/>
    <w:rsid w:val="00A15DFC"/>
    <w:rsid w:val="00A46E1B"/>
    <w:rsid w:val="00A57275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92E15"/>
    <w:rsid w:val="00BA7D71"/>
    <w:rsid w:val="00BD2A96"/>
    <w:rsid w:val="00BF682C"/>
    <w:rsid w:val="00BF7644"/>
    <w:rsid w:val="00C03E8E"/>
    <w:rsid w:val="00C2612E"/>
    <w:rsid w:val="00C338CD"/>
    <w:rsid w:val="00C609B7"/>
    <w:rsid w:val="00CE16BC"/>
    <w:rsid w:val="00CF2E5D"/>
    <w:rsid w:val="00D047BE"/>
    <w:rsid w:val="00D26BFF"/>
    <w:rsid w:val="00D27D4E"/>
    <w:rsid w:val="00D42339"/>
    <w:rsid w:val="00D61AC2"/>
    <w:rsid w:val="00D652D6"/>
    <w:rsid w:val="00D76DB9"/>
    <w:rsid w:val="00DA5FEF"/>
    <w:rsid w:val="00DE063A"/>
    <w:rsid w:val="00E01893"/>
    <w:rsid w:val="00E12A51"/>
    <w:rsid w:val="00E16CD5"/>
    <w:rsid w:val="00E46230"/>
    <w:rsid w:val="00E600ED"/>
    <w:rsid w:val="00E777AD"/>
    <w:rsid w:val="00E81C0B"/>
    <w:rsid w:val="00E979C1"/>
    <w:rsid w:val="00EA4B61"/>
    <w:rsid w:val="00EF4EF2"/>
    <w:rsid w:val="00F06BF6"/>
    <w:rsid w:val="00F07ACB"/>
    <w:rsid w:val="00F1759D"/>
    <w:rsid w:val="00F33ED3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8A34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E4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49030-86A8-43F0-961E-5B83FDD11D3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C493B65-75FA-48C9-9AFD-38515F3AE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89584-C7BA-4FF7-8E03-AD3D0700E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2019-07-12T18:47:00Z</dcterms:created>
  <dcterms:modified xsi:type="dcterms:W3CDTF">2019-07-12T18:47:00Z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