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7B1D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37831</w:t>
      </w:r>
      <w:r w:rsidR="00E81C0B" w:rsidRPr="001E26DB">
        <w:t>     </w:t>
      </w:r>
    </w:p>
    <w:p w14:paraId="2467B1D5" w14:textId="77777777" w:rsidR="009F436C" w:rsidRPr="001E26DB" w:rsidRDefault="009F436C" w:rsidP="00382FEC"/>
    <w:p w14:paraId="2467B1D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467B1DA" w14:textId="77777777" w:rsidTr="00B37A52">
        <w:tc>
          <w:tcPr>
            <w:tcW w:w="2269" w:type="pct"/>
          </w:tcPr>
          <w:p w14:paraId="2467B1D7" w14:textId="77777777" w:rsidR="00417FB7" w:rsidRPr="001E26DB" w:rsidRDefault="00786741" w:rsidP="00786741">
            <w:r>
              <w:t>Le 1</w:t>
            </w:r>
            <w:r w:rsidR="0062554E">
              <w:t xml:space="preserve">4 </w:t>
            </w:r>
            <w:r>
              <w:t>novem</w:t>
            </w:r>
            <w:r w:rsidR="0062554E">
              <w:t>bre 2019</w:t>
            </w:r>
          </w:p>
        </w:tc>
        <w:tc>
          <w:tcPr>
            <w:tcW w:w="381" w:type="pct"/>
          </w:tcPr>
          <w:p w14:paraId="2467B1D8" w14:textId="77777777" w:rsidR="00417FB7" w:rsidRPr="001E26DB" w:rsidRDefault="00417FB7" w:rsidP="00382FEC"/>
        </w:tc>
        <w:tc>
          <w:tcPr>
            <w:tcW w:w="2350" w:type="pct"/>
          </w:tcPr>
          <w:p w14:paraId="2467B1D9" w14:textId="77777777" w:rsidR="00417FB7" w:rsidRPr="001E26DB" w:rsidRDefault="00786741" w:rsidP="00786741">
            <w:pPr>
              <w:rPr>
                <w:lang w:val="en-CA"/>
              </w:rPr>
            </w:pPr>
            <w:r>
              <w:t>November</w:t>
            </w:r>
            <w:r w:rsidR="0062554E">
              <w:t xml:space="preserve"> </w:t>
            </w:r>
            <w:r>
              <w:t>1</w:t>
            </w:r>
            <w:r w:rsidR="0062554E">
              <w:t>4, 2019</w:t>
            </w:r>
          </w:p>
        </w:tc>
      </w:tr>
      <w:tr w:rsidR="00C2612E" w:rsidRPr="0062554E" w14:paraId="2467B1D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467B1D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67B1D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67B1D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C2E1B" w14:paraId="2467B1EC" w14:textId="77777777" w:rsidTr="006A1E6D">
        <w:tc>
          <w:tcPr>
            <w:tcW w:w="2269" w:type="pct"/>
          </w:tcPr>
          <w:p w14:paraId="2467B1DF" w14:textId="77777777" w:rsidR="00C556B2" w:rsidRDefault="00786741">
            <w:pPr>
              <w:pStyle w:val="SCCLsocPrefix"/>
            </w:pPr>
            <w:r>
              <w:t>ENTRE :</w:t>
            </w:r>
            <w:r>
              <w:br/>
            </w:r>
          </w:p>
          <w:p w14:paraId="2467B1E0" w14:textId="77777777" w:rsidR="00C556B2" w:rsidRDefault="00786741">
            <w:pPr>
              <w:pStyle w:val="SCCLsocParty"/>
            </w:pPr>
            <w:r>
              <w:t>Justin Milette</w:t>
            </w:r>
            <w:r>
              <w:br/>
            </w:r>
          </w:p>
          <w:p w14:paraId="2467B1E1" w14:textId="77777777" w:rsidR="00C556B2" w:rsidRDefault="00786741">
            <w:pPr>
              <w:pStyle w:val="SCCLsocPartyRole"/>
            </w:pPr>
            <w:r>
              <w:t>Demandeur</w:t>
            </w:r>
            <w:r>
              <w:br/>
            </w:r>
          </w:p>
          <w:p w14:paraId="2467B1E2" w14:textId="77777777" w:rsidR="00C556B2" w:rsidRDefault="00786741">
            <w:pPr>
              <w:pStyle w:val="SCCLsocVersus"/>
            </w:pPr>
            <w:r>
              <w:t>- et -</w:t>
            </w:r>
            <w:r>
              <w:br/>
            </w:r>
          </w:p>
          <w:p w14:paraId="2467B1E3" w14:textId="609B9C28" w:rsidR="00C556B2" w:rsidRDefault="00786741">
            <w:pPr>
              <w:pStyle w:val="SCCLsocParty"/>
            </w:pPr>
            <w:r>
              <w:t>Sa Majesté la Reine</w:t>
            </w:r>
            <w:r w:rsidR="008C2E1B">
              <w:t xml:space="preserve"> et procureur</w:t>
            </w:r>
            <w:r w:rsidR="00931504">
              <w:t>e</w:t>
            </w:r>
            <w:r w:rsidR="008C2E1B">
              <w:t xml:space="preserve"> générale du Québec</w:t>
            </w:r>
            <w:r>
              <w:br/>
            </w:r>
          </w:p>
          <w:p w14:paraId="2467B1E4" w14:textId="55538B09" w:rsidR="00C556B2" w:rsidRDefault="00786741" w:rsidP="00786741">
            <w:pPr>
              <w:pStyle w:val="SCCLsocPartyRole"/>
            </w:pPr>
            <w:r>
              <w:t>Intimée</w:t>
            </w:r>
            <w:r w:rsidR="008C2E1B">
              <w:t>s</w:t>
            </w:r>
          </w:p>
        </w:tc>
        <w:tc>
          <w:tcPr>
            <w:tcW w:w="381" w:type="pct"/>
          </w:tcPr>
          <w:p w14:paraId="2467B1E5" w14:textId="77777777" w:rsidR="00824412" w:rsidRPr="00AF578B" w:rsidRDefault="00824412" w:rsidP="00375294"/>
        </w:tc>
        <w:tc>
          <w:tcPr>
            <w:tcW w:w="2350" w:type="pct"/>
          </w:tcPr>
          <w:p w14:paraId="2467B1E6" w14:textId="77777777" w:rsidR="00C556B2" w:rsidRPr="00786741" w:rsidRDefault="00786741">
            <w:pPr>
              <w:pStyle w:val="SCCLsocPrefix"/>
              <w:rPr>
                <w:lang w:val="en-CA"/>
              </w:rPr>
            </w:pPr>
            <w:r w:rsidRPr="00786741">
              <w:rPr>
                <w:lang w:val="en-CA"/>
              </w:rPr>
              <w:t>BETWEEN:</w:t>
            </w:r>
            <w:r w:rsidRPr="00786741">
              <w:rPr>
                <w:lang w:val="en-CA"/>
              </w:rPr>
              <w:br/>
            </w:r>
          </w:p>
          <w:p w14:paraId="2467B1E7" w14:textId="77777777" w:rsidR="00C556B2" w:rsidRPr="00786741" w:rsidRDefault="00786741">
            <w:pPr>
              <w:pStyle w:val="SCCLsocParty"/>
              <w:rPr>
                <w:lang w:val="en-CA"/>
              </w:rPr>
            </w:pPr>
            <w:r w:rsidRPr="00786741">
              <w:rPr>
                <w:lang w:val="en-CA"/>
              </w:rPr>
              <w:t>Justin Milette</w:t>
            </w:r>
            <w:r w:rsidRPr="00786741">
              <w:rPr>
                <w:lang w:val="en-CA"/>
              </w:rPr>
              <w:br/>
            </w:r>
          </w:p>
          <w:p w14:paraId="2467B1E8" w14:textId="77777777" w:rsidR="00C556B2" w:rsidRPr="00786741" w:rsidRDefault="00786741">
            <w:pPr>
              <w:pStyle w:val="SCCLsocPartyRole"/>
              <w:rPr>
                <w:lang w:val="en-CA"/>
              </w:rPr>
            </w:pPr>
            <w:r w:rsidRPr="00786741">
              <w:rPr>
                <w:lang w:val="en-CA"/>
              </w:rPr>
              <w:t>Applicant</w:t>
            </w:r>
            <w:r w:rsidRPr="00786741">
              <w:rPr>
                <w:lang w:val="en-CA"/>
              </w:rPr>
              <w:br/>
            </w:r>
          </w:p>
          <w:p w14:paraId="2467B1E9" w14:textId="77777777" w:rsidR="00C556B2" w:rsidRPr="00786741" w:rsidRDefault="00786741">
            <w:pPr>
              <w:pStyle w:val="SCCLsocVersus"/>
              <w:rPr>
                <w:lang w:val="en-CA"/>
              </w:rPr>
            </w:pPr>
            <w:r w:rsidRPr="00786741">
              <w:rPr>
                <w:lang w:val="en-CA"/>
              </w:rPr>
              <w:t>- and -</w:t>
            </w:r>
            <w:r w:rsidRPr="00786741">
              <w:rPr>
                <w:lang w:val="en-CA"/>
              </w:rPr>
              <w:br/>
            </w:r>
          </w:p>
          <w:p w14:paraId="2467B1EA" w14:textId="182818FE" w:rsidR="00C556B2" w:rsidRPr="00786741" w:rsidRDefault="00786741">
            <w:pPr>
              <w:pStyle w:val="SCCLsocParty"/>
              <w:rPr>
                <w:lang w:val="en-CA"/>
              </w:rPr>
            </w:pPr>
            <w:r w:rsidRPr="00786741">
              <w:rPr>
                <w:lang w:val="en-CA"/>
              </w:rPr>
              <w:t>Her Majesty the Queen</w:t>
            </w:r>
            <w:r w:rsidR="008C2E1B">
              <w:rPr>
                <w:lang w:val="en-CA"/>
              </w:rPr>
              <w:t xml:space="preserve"> and Attorney General of Quebec</w:t>
            </w:r>
            <w:r w:rsidRPr="00786741">
              <w:rPr>
                <w:lang w:val="en-CA"/>
              </w:rPr>
              <w:br/>
            </w:r>
          </w:p>
          <w:p w14:paraId="2467B1EB" w14:textId="0109AC0B" w:rsidR="00C556B2" w:rsidRPr="00786741" w:rsidRDefault="00786741">
            <w:pPr>
              <w:pStyle w:val="SCCLsocPartyRole"/>
              <w:rPr>
                <w:lang w:val="en-CA"/>
              </w:rPr>
            </w:pPr>
            <w:r w:rsidRPr="00786741">
              <w:rPr>
                <w:lang w:val="en-CA"/>
              </w:rPr>
              <w:t>Respondent</w:t>
            </w:r>
            <w:r w:rsidR="008C2E1B">
              <w:rPr>
                <w:lang w:val="en-CA"/>
              </w:rPr>
              <w:t>s</w:t>
            </w:r>
          </w:p>
        </w:tc>
      </w:tr>
      <w:tr w:rsidR="00824412" w:rsidRPr="008C2E1B" w14:paraId="2467B1F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467B1E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67B1E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67B1E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F578B" w14:paraId="2467B1FD" w14:textId="77777777" w:rsidTr="00B37A52">
        <w:tc>
          <w:tcPr>
            <w:tcW w:w="2269" w:type="pct"/>
          </w:tcPr>
          <w:p w14:paraId="2467B1F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467B1F2" w14:textId="77777777" w:rsidR="0027081E" w:rsidRPr="001E26DB" w:rsidRDefault="0027081E" w:rsidP="0027081E">
            <w:pPr>
              <w:jc w:val="center"/>
            </w:pPr>
          </w:p>
          <w:p w14:paraId="2467B1F4" w14:textId="7C1BEF52" w:rsidR="00824412" w:rsidRDefault="00786741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La requête en nomination d’un procureur est rejetée. La requête en </w:t>
            </w:r>
            <w:r w:rsidR="001F7305">
              <w:rPr>
                <w:rFonts w:cs="Times New Roman"/>
                <w:szCs w:val="24"/>
              </w:rPr>
              <w:t>vue d’ajouter le procureur général du Canada comme intervenant à la demande d’autorisation d’appel</w:t>
            </w:r>
            <w:r>
              <w:rPr>
                <w:rFonts w:cs="Times New Roman"/>
                <w:szCs w:val="24"/>
              </w:rPr>
              <w:t xml:space="preserve"> est rejetée. Les requêtes diverses sont rejetées.</w:t>
            </w:r>
            <w:r w:rsidR="001F7305">
              <w:t xml:space="preserve"> </w:t>
            </w:r>
            <w:r w:rsidR="0027081E" w:rsidRPr="001E26DB">
              <w:t xml:space="preserve">La demande d’autorisation </w:t>
            </w:r>
            <w:r w:rsidR="0027081E" w:rsidRPr="001E26DB">
              <w:lastRenderedPageBreak/>
              <w:t xml:space="preserve">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200-10-003345-175, 2018 QCCA 736</w:t>
            </w:r>
            <w:r w:rsidR="0027081E" w:rsidRPr="001E26DB">
              <w:t xml:space="preserve">, daté du </w:t>
            </w:r>
            <w:r w:rsidR="0027081E">
              <w:t>6 </w:t>
            </w:r>
            <w:r w:rsidR="001F7305">
              <w:t>avril </w:t>
            </w:r>
            <w:r w:rsidR="0027081E">
              <w:t>2018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2467B1F5" w14:textId="77777777" w:rsidR="00622562" w:rsidRDefault="00622562" w:rsidP="0027081E">
            <w:pPr>
              <w:jc w:val="both"/>
            </w:pPr>
          </w:p>
          <w:p w14:paraId="2467B1F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467B1F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67B1F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467B1F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467B1FA" w14:textId="15DF3681" w:rsidR="00824412" w:rsidRPr="00786741" w:rsidRDefault="00786741" w:rsidP="006C1359">
            <w:pPr>
              <w:jc w:val="both"/>
              <w:rPr>
                <w:rFonts w:cs="Times New Roman"/>
                <w:szCs w:val="24"/>
                <w:lang w:val="en-CA"/>
              </w:rPr>
            </w:pPr>
            <w:r w:rsidRPr="00786741">
              <w:rPr>
                <w:rFonts w:cs="Times New Roman"/>
                <w:szCs w:val="24"/>
                <w:lang w:val="en-CA"/>
              </w:rPr>
              <w:t>The motion for an extension of time to serve and file the application for leave to appeal is granted.</w:t>
            </w:r>
            <w:r w:rsidR="002F1377">
              <w:rPr>
                <w:rFonts w:cs="Times New Roman"/>
                <w:szCs w:val="24"/>
                <w:lang w:val="en-CA"/>
              </w:rPr>
              <w:t xml:space="preserve"> The motion to appoint counsel is dismissed. </w:t>
            </w:r>
            <w:r w:rsidR="001F7305">
              <w:rPr>
                <w:rFonts w:cs="Times New Roman"/>
                <w:szCs w:val="24"/>
                <w:lang w:val="en-CA"/>
              </w:rPr>
              <w:t xml:space="preserve">The motion to add the Attorney General of Canada as an intervener on the application for leave to appeal is dismissed. The miscellaneous motions are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86741">
              <w:rPr>
                <w:lang w:val="en-CA"/>
              </w:rPr>
              <w:t xml:space="preserve">Court of Appeal of Quebec </w:t>
            </w:r>
            <w:r w:rsidR="0027081E" w:rsidRPr="00786741">
              <w:rPr>
                <w:lang w:val="en-CA"/>
              </w:rPr>
              <w:lastRenderedPageBreak/>
              <w:t>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86741">
              <w:rPr>
                <w:lang w:val="en-CA"/>
              </w:rPr>
              <w:t>200-10-003345-175, 2018 QCCA 736</w:t>
            </w:r>
            <w:r w:rsidR="0027081E" w:rsidRPr="001E26DB">
              <w:rPr>
                <w:lang w:val="en-CA"/>
              </w:rPr>
              <w:t xml:space="preserve">, dated </w:t>
            </w:r>
            <w:r w:rsidR="001F7305">
              <w:rPr>
                <w:lang w:val="en-CA"/>
              </w:rPr>
              <w:t>April</w:t>
            </w:r>
            <w:r w:rsidR="001F7305" w:rsidRPr="00786741">
              <w:rPr>
                <w:lang w:val="en-CA"/>
              </w:rPr>
              <w:t> </w:t>
            </w:r>
            <w:r w:rsidR="0027081E" w:rsidRPr="00786741">
              <w:rPr>
                <w:lang w:val="en-CA"/>
              </w:rPr>
              <w:t>6, 2018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467B1F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467B1FC" w14:textId="77777777" w:rsidR="00622562" w:rsidRPr="00786741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2467B1FE" w14:textId="77777777" w:rsidR="009F436C" w:rsidRDefault="009F436C" w:rsidP="00382FEC">
      <w:pPr>
        <w:rPr>
          <w:lang w:val="en-US"/>
        </w:rPr>
      </w:pPr>
    </w:p>
    <w:p w14:paraId="40934037" w14:textId="77777777" w:rsidR="001F7305" w:rsidRDefault="001F7305" w:rsidP="00382FEC">
      <w:pPr>
        <w:rPr>
          <w:lang w:val="en-US"/>
        </w:rPr>
      </w:pPr>
    </w:p>
    <w:p w14:paraId="6C134708" w14:textId="77777777" w:rsidR="001F7305" w:rsidRDefault="001F7305" w:rsidP="00382FEC">
      <w:pPr>
        <w:rPr>
          <w:lang w:val="en-US"/>
        </w:rPr>
      </w:pPr>
    </w:p>
    <w:p w14:paraId="3A9901EE" w14:textId="77777777" w:rsidR="001F7305" w:rsidRDefault="001F7305" w:rsidP="00382FEC">
      <w:pPr>
        <w:rPr>
          <w:lang w:val="en-US"/>
        </w:rPr>
      </w:pPr>
    </w:p>
    <w:p w14:paraId="1AEBE367" w14:textId="77777777" w:rsidR="001F7305" w:rsidRPr="002C29B6" w:rsidRDefault="001F7305" w:rsidP="00382FEC">
      <w:pPr>
        <w:rPr>
          <w:lang w:val="en-US"/>
        </w:rPr>
      </w:pPr>
    </w:p>
    <w:p w14:paraId="2467B1FF" w14:textId="77777777" w:rsidR="00655333" w:rsidRPr="00786741" w:rsidRDefault="00655333" w:rsidP="00655333">
      <w:pPr>
        <w:jc w:val="center"/>
        <w:rPr>
          <w:lang w:val="en-US"/>
        </w:rPr>
      </w:pPr>
    </w:p>
    <w:p w14:paraId="2467B20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467B20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467B202" w14:textId="77777777" w:rsidR="009F436C" w:rsidRPr="002C29B6" w:rsidRDefault="009F436C" w:rsidP="00786741">
      <w:pPr>
        <w:spacing w:after="200" w:line="276" w:lineRule="auto"/>
        <w:rPr>
          <w:lang w:val="en-US"/>
        </w:rPr>
      </w:pPr>
    </w:p>
    <w:sectPr w:rsidR="009F436C" w:rsidRPr="002C29B6" w:rsidSect="00AF578B">
      <w:headerReference w:type="default" r:id="rId9"/>
      <w:headerReference w:type="first" r:id="rId10"/>
      <w:type w:val="continuous"/>
      <w:pgSz w:w="12240" w:h="15840"/>
      <w:pgMar w:top="720" w:right="1440" w:bottom="27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7B205" w14:textId="77777777" w:rsidR="00D27D4E" w:rsidRDefault="00D27D4E">
      <w:r>
        <w:separator/>
      </w:r>
    </w:p>
  </w:endnote>
  <w:endnote w:type="continuationSeparator" w:id="0">
    <w:p w14:paraId="2467B20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B203" w14:textId="77777777" w:rsidR="00D27D4E" w:rsidRDefault="00D27D4E">
      <w:r>
        <w:separator/>
      </w:r>
    </w:p>
  </w:footnote>
  <w:footnote w:type="continuationSeparator" w:id="0">
    <w:p w14:paraId="2467B20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B20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034C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67B208" w14:textId="77777777" w:rsidR="00401B64" w:rsidRDefault="00401B64" w:rsidP="00401B64">
    <w:pPr>
      <w:rPr>
        <w:szCs w:val="24"/>
      </w:rPr>
    </w:pPr>
  </w:p>
  <w:p w14:paraId="2467B209" w14:textId="77777777" w:rsidR="00401B64" w:rsidRDefault="00401B64" w:rsidP="00401B64">
    <w:pPr>
      <w:rPr>
        <w:szCs w:val="24"/>
      </w:rPr>
    </w:pPr>
  </w:p>
  <w:p w14:paraId="2467B20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37831</w:t>
    </w:r>
    <w:r w:rsidR="00401B64">
      <w:rPr>
        <w:szCs w:val="24"/>
      </w:rPr>
      <w:t>     </w:t>
    </w:r>
  </w:p>
  <w:p w14:paraId="2467B20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37574"/>
      <w:lock w:val="sdtContentLocked"/>
      <w:showingPlcHdr/>
      <w:text/>
    </w:sdtPr>
    <w:sdtEndPr/>
    <w:sdtContent>
      <w:p w14:paraId="2467B20C" w14:textId="77777777" w:rsidR="000452C9" w:rsidRDefault="000452C9" w:rsidP="000452C9"/>
      <w:p w14:paraId="2467B20D" w14:textId="77777777" w:rsidR="000452C9" w:rsidRPr="001E26DB" w:rsidRDefault="000452C9" w:rsidP="000452C9"/>
      <w:p w14:paraId="2467B20E" w14:textId="77777777" w:rsidR="000452C9" w:rsidRPr="001E26DB" w:rsidRDefault="000452C9" w:rsidP="000452C9"/>
      <w:p w14:paraId="2467B20F" w14:textId="77777777" w:rsidR="000452C9" w:rsidRDefault="000452C9" w:rsidP="000452C9"/>
      <w:p w14:paraId="2467B210" w14:textId="77777777" w:rsidR="000452C9" w:rsidRDefault="000452C9" w:rsidP="000452C9"/>
      <w:p w14:paraId="2467B211" w14:textId="77777777" w:rsidR="000452C9" w:rsidRDefault="000452C9" w:rsidP="000452C9"/>
      <w:p w14:paraId="2467B212" w14:textId="77777777" w:rsidR="000452C9" w:rsidRDefault="000452C9" w:rsidP="000452C9"/>
      <w:p w14:paraId="2467B213" w14:textId="77777777" w:rsidR="000452C9" w:rsidRPr="001E26DB" w:rsidRDefault="000452C9" w:rsidP="000452C9"/>
      <w:p w14:paraId="2467B214" w14:textId="77777777" w:rsidR="000452C9" w:rsidRPr="001E26DB" w:rsidRDefault="000452C9" w:rsidP="000452C9"/>
      <w:p w14:paraId="2467B215" w14:textId="77777777" w:rsidR="000452C9" w:rsidRDefault="000452C9" w:rsidP="000452C9">
        <w:pPr>
          <w:pStyle w:val="Header"/>
        </w:pPr>
      </w:p>
      <w:p w14:paraId="2467B216" w14:textId="77777777" w:rsidR="001D6D96" w:rsidRPr="000452C9" w:rsidRDefault="00D034C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7305"/>
    <w:rsid w:val="002030E6"/>
    <w:rsid w:val="00203642"/>
    <w:rsid w:val="00215653"/>
    <w:rsid w:val="0027081E"/>
    <w:rsid w:val="002B5FA6"/>
    <w:rsid w:val="002C29B6"/>
    <w:rsid w:val="002F137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6741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2E1B"/>
    <w:rsid w:val="008D6351"/>
    <w:rsid w:val="008F4A07"/>
    <w:rsid w:val="00931504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578B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56B2"/>
    <w:rsid w:val="00C609B7"/>
    <w:rsid w:val="00CF2E5D"/>
    <w:rsid w:val="00D034CB"/>
    <w:rsid w:val="00D047BE"/>
    <w:rsid w:val="00D26BFF"/>
    <w:rsid w:val="00D27D4E"/>
    <w:rsid w:val="00D42339"/>
    <w:rsid w:val="00D61AC2"/>
    <w:rsid w:val="00D652D6"/>
    <w:rsid w:val="00D74EBA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67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EA7FB68-5B0A-45CA-A58A-E475169BF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F53B-59C1-42D8-87EA-443EEAD6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A9B0E-D41A-4D70-B4EF-0F51133D0F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2019-11-13T02:41:00Z</dcterms:created>
  <dcterms:modified xsi:type="dcterms:W3CDTF">2019-11-13T02:41:00Z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