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4A7BE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38769</w:t>
      </w:r>
      <w:r w:rsidR="00E81C0B" w:rsidRPr="001E26DB">
        <w:t>     </w:t>
      </w:r>
    </w:p>
    <w:p w14:paraId="1D54A7BF" w14:textId="77777777" w:rsidR="009F436C" w:rsidRPr="001E26DB" w:rsidRDefault="009F436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1D54A7C3" w14:textId="77777777" w:rsidTr="00B37A52">
        <w:tc>
          <w:tcPr>
            <w:tcW w:w="2269" w:type="pct"/>
          </w:tcPr>
          <w:p w14:paraId="1D54A7C0" w14:textId="61E576DE" w:rsidR="00417FB7" w:rsidRPr="001E26DB" w:rsidRDefault="0062554E" w:rsidP="007C5A95">
            <w:r>
              <w:t xml:space="preserve">Le </w:t>
            </w:r>
            <w:r w:rsidR="007C5A95">
              <w:t>16</w:t>
            </w:r>
            <w:r w:rsidR="00F962F8">
              <w:t xml:space="preserve"> janvier 2020</w:t>
            </w:r>
          </w:p>
        </w:tc>
        <w:tc>
          <w:tcPr>
            <w:tcW w:w="381" w:type="pct"/>
          </w:tcPr>
          <w:p w14:paraId="1D54A7C1" w14:textId="77777777" w:rsidR="00417FB7" w:rsidRPr="001E26DB" w:rsidRDefault="00417FB7" w:rsidP="00382FEC"/>
        </w:tc>
        <w:tc>
          <w:tcPr>
            <w:tcW w:w="2350" w:type="pct"/>
          </w:tcPr>
          <w:p w14:paraId="1D54A7C2" w14:textId="3B0E106B" w:rsidR="00417FB7" w:rsidRPr="001E26DB" w:rsidRDefault="00F962F8" w:rsidP="007C5A95">
            <w:pPr>
              <w:rPr>
                <w:lang w:val="en-CA"/>
              </w:rPr>
            </w:pPr>
            <w:r>
              <w:t xml:space="preserve">January </w:t>
            </w:r>
            <w:r w:rsidR="007C5A95">
              <w:t>16</w:t>
            </w:r>
            <w:r>
              <w:t>, 2020</w:t>
            </w:r>
          </w:p>
        </w:tc>
      </w:tr>
      <w:tr w:rsidR="00C2612E" w:rsidRPr="0062554E" w14:paraId="1D54A7C7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1D54A7C4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54A7C5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54A7C6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1D54A7DF" w14:textId="77777777" w:rsidTr="006A1E6D">
        <w:tc>
          <w:tcPr>
            <w:tcW w:w="2269" w:type="pct"/>
          </w:tcPr>
          <w:p w14:paraId="1D54A7C8" w14:textId="77777777" w:rsidR="0049307E" w:rsidRDefault="00F962F8">
            <w:pPr>
              <w:pStyle w:val="SCCLsocPrefix"/>
            </w:pPr>
            <w:r>
              <w:t>ENTRE :</w:t>
            </w:r>
            <w:r>
              <w:br/>
            </w:r>
          </w:p>
          <w:p w14:paraId="1D54A7C9" w14:textId="39B68922" w:rsidR="00F962F8" w:rsidRDefault="0084614F">
            <w:pPr>
              <w:pStyle w:val="SCCLsocParty"/>
            </w:pPr>
            <w:r>
              <w:t>Placements Antis inc.</w:t>
            </w:r>
            <w:r w:rsidR="00F962F8">
              <w:t xml:space="preserve"> et </w:t>
            </w:r>
          </w:p>
          <w:p w14:paraId="1D54A7CA" w14:textId="77777777" w:rsidR="0049307E" w:rsidRDefault="00F962F8">
            <w:pPr>
              <w:pStyle w:val="SCCLsocParty"/>
            </w:pPr>
            <w:r>
              <w:t>Claudia Russo</w:t>
            </w:r>
            <w:r>
              <w:br/>
            </w:r>
          </w:p>
          <w:p w14:paraId="1D54A7CB" w14:textId="77777777" w:rsidR="0049307E" w:rsidRDefault="00F962F8">
            <w:pPr>
              <w:pStyle w:val="SCCLsocPartyRole"/>
            </w:pPr>
            <w:r>
              <w:t>Demanderesses</w:t>
            </w:r>
            <w:r>
              <w:br/>
            </w:r>
          </w:p>
          <w:p w14:paraId="1D54A7CC" w14:textId="77777777" w:rsidR="0049307E" w:rsidRDefault="00F962F8">
            <w:pPr>
              <w:pStyle w:val="SCCLsocVersus"/>
            </w:pPr>
            <w:r>
              <w:t>- et -</w:t>
            </w:r>
            <w:r>
              <w:br/>
            </w:r>
          </w:p>
          <w:p w14:paraId="1D54A7CD" w14:textId="77777777" w:rsidR="0049307E" w:rsidRDefault="00F962F8">
            <w:pPr>
              <w:pStyle w:val="SCCLsocParty"/>
            </w:pPr>
            <w:r>
              <w:t>Raymond Chabot inc.</w:t>
            </w:r>
            <w:r>
              <w:br/>
            </w:r>
          </w:p>
          <w:p w14:paraId="1D54A7CE" w14:textId="77777777" w:rsidR="0049307E" w:rsidRDefault="00F962F8">
            <w:pPr>
              <w:pStyle w:val="SCCLsocPartyRole"/>
            </w:pPr>
            <w:r>
              <w:t>Intimée</w:t>
            </w:r>
            <w:r>
              <w:br/>
            </w:r>
          </w:p>
          <w:p w14:paraId="1D54A7CF" w14:textId="77777777" w:rsidR="0049307E" w:rsidRDefault="00F962F8">
            <w:pPr>
              <w:pStyle w:val="SCCLsocVersus"/>
            </w:pPr>
            <w:r>
              <w:t>- et -</w:t>
            </w:r>
            <w:r>
              <w:br/>
            </w:r>
          </w:p>
          <w:p w14:paraId="1D54A7D0" w14:textId="77777777" w:rsidR="00F962F8" w:rsidRDefault="00F962F8">
            <w:pPr>
              <w:pStyle w:val="SCCLsocParty"/>
            </w:pPr>
            <w:r>
              <w:t xml:space="preserve">Banque Royale du Canada et </w:t>
            </w:r>
          </w:p>
          <w:p w14:paraId="1D54A7D1" w14:textId="74F54627" w:rsidR="0049307E" w:rsidRDefault="00F962F8">
            <w:pPr>
              <w:pStyle w:val="SCCLsocParty"/>
            </w:pPr>
            <w:r>
              <w:t>Banque Toronto</w:t>
            </w:r>
            <w:r w:rsidR="00437455">
              <w:t>-</w:t>
            </w:r>
            <w:r>
              <w:t>Dominion</w:t>
            </w:r>
            <w:r>
              <w:br/>
            </w:r>
          </w:p>
          <w:p w14:paraId="1D54A7D2" w14:textId="77777777" w:rsidR="0049307E" w:rsidRDefault="00F962F8">
            <w:pPr>
              <w:pStyle w:val="SCCLsocPartyRole"/>
            </w:pPr>
            <w:r>
              <w:t>Intervenantes</w:t>
            </w:r>
          </w:p>
        </w:tc>
        <w:tc>
          <w:tcPr>
            <w:tcW w:w="381" w:type="pct"/>
          </w:tcPr>
          <w:p w14:paraId="1D54A7D3" w14:textId="77777777" w:rsidR="00824412" w:rsidRPr="00F962F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</w:tcPr>
          <w:p w14:paraId="1D54A7D4" w14:textId="77777777" w:rsidR="0049307E" w:rsidRPr="00F962F8" w:rsidRDefault="00F962F8">
            <w:pPr>
              <w:pStyle w:val="SCCLsocPrefix"/>
              <w:rPr>
                <w:lang w:val="en-US"/>
              </w:rPr>
            </w:pPr>
            <w:r w:rsidRPr="00F962F8">
              <w:rPr>
                <w:lang w:val="en-US"/>
              </w:rPr>
              <w:t>BETWEEN:</w:t>
            </w:r>
            <w:r w:rsidRPr="00F962F8">
              <w:rPr>
                <w:lang w:val="en-US"/>
              </w:rPr>
              <w:br/>
            </w:r>
          </w:p>
          <w:p w14:paraId="1D54A7D5" w14:textId="00912987" w:rsidR="00F962F8" w:rsidRPr="0084614F" w:rsidRDefault="00F962F8">
            <w:pPr>
              <w:pStyle w:val="SCCLsocParty"/>
              <w:rPr>
                <w:lang w:val="en-US"/>
              </w:rPr>
            </w:pPr>
            <w:r w:rsidRPr="0084614F">
              <w:rPr>
                <w:lang w:val="en-US"/>
              </w:rPr>
              <w:t xml:space="preserve">Placements Antis inc. and </w:t>
            </w:r>
          </w:p>
          <w:p w14:paraId="1D54A7D6" w14:textId="77777777" w:rsidR="0049307E" w:rsidRPr="0084614F" w:rsidRDefault="00F962F8">
            <w:pPr>
              <w:pStyle w:val="SCCLsocParty"/>
              <w:rPr>
                <w:lang w:val="en-US"/>
              </w:rPr>
            </w:pPr>
            <w:r w:rsidRPr="0084614F">
              <w:rPr>
                <w:lang w:val="en-US"/>
              </w:rPr>
              <w:t>Claudia Russo</w:t>
            </w:r>
            <w:r w:rsidRPr="0084614F">
              <w:rPr>
                <w:lang w:val="en-US"/>
              </w:rPr>
              <w:br/>
            </w:r>
          </w:p>
          <w:p w14:paraId="1D54A7D7" w14:textId="77777777" w:rsidR="0049307E" w:rsidRPr="0084614F" w:rsidRDefault="00F962F8">
            <w:pPr>
              <w:pStyle w:val="SCCLsocPartyRole"/>
              <w:rPr>
                <w:lang w:val="en-US"/>
              </w:rPr>
            </w:pPr>
            <w:r w:rsidRPr="0084614F">
              <w:rPr>
                <w:lang w:val="en-US"/>
              </w:rPr>
              <w:t>Applicants</w:t>
            </w:r>
            <w:r w:rsidRPr="0084614F">
              <w:rPr>
                <w:lang w:val="en-US"/>
              </w:rPr>
              <w:br/>
            </w:r>
          </w:p>
          <w:p w14:paraId="1D54A7D8" w14:textId="77777777" w:rsidR="0049307E" w:rsidRPr="0084614F" w:rsidRDefault="00F962F8">
            <w:pPr>
              <w:pStyle w:val="SCCLsocVersus"/>
              <w:rPr>
                <w:lang w:val="en-US"/>
              </w:rPr>
            </w:pPr>
            <w:r w:rsidRPr="0084614F">
              <w:rPr>
                <w:lang w:val="en-US"/>
              </w:rPr>
              <w:t>- and -</w:t>
            </w:r>
            <w:r w:rsidRPr="0084614F">
              <w:rPr>
                <w:lang w:val="en-US"/>
              </w:rPr>
              <w:br/>
            </w:r>
          </w:p>
          <w:p w14:paraId="1D54A7D9" w14:textId="77777777" w:rsidR="0049307E" w:rsidRPr="0084614F" w:rsidRDefault="00F962F8">
            <w:pPr>
              <w:pStyle w:val="SCCLsocParty"/>
              <w:rPr>
                <w:lang w:val="en-US"/>
              </w:rPr>
            </w:pPr>
            <w:r w:rsidRPr="0084614F">
              <w:rPr>
                <w:lang w:val="en-US"/>
              </w:rPr>
              <w:t>Raymond Chabot inc.</w:t>
            </w:r>
            <w:r w:rsidRPr="0084614F">
              <w:rPr>
                <w:lang w:val="en-US"/>
              </w:rPr>
              <w:br/>
            </w:r>
          </w:p>
          <w:p w14:paraId="1D54A7DA" w14:textId="77777777" w:rsidR="0049307E" w:rsidRPr="0084614F" w:rsidRDefault="00F962F8">
            <w:pPr>
              <w:pStyle w:val="SCCLsocPartyRole"/>
              <w:rPr>
                <w:lang w:val="en-US"/>
              </w:rPr>
            </w:pPr>
            <w:r w:rsidRPr="0084614F">
              <w:rPr>
                <w:lang w:val="en-US"/>
              </w:rPr>
              <w:t>Respondent</w:t>
            </w:r>
            <w:r w:rsidRPr="0084614F">
              <w:rPr>
                <w:lang w:val="en-US"/>
              </w:rPr>
              <w:br/>
            </w:r>
          </w:p>
          <w:p w14:paraId="1D54A7DB" w14:textId="77777777" w:rsidR="0049307E" w:rsidRPr="0084614F" w:rsidRDefault="00F962F8">
            <w:pPr>
              <w:pStyle w:val="SCCLsocVersus"/>
              <w:rPr>
                <w:lang w:val="en-US"/>
              </w:rPr>
            </w:pPr>
            <w:r w:rsidRPr="0084614F">
              <w:rPr>
                <w:lang w:val="en-US"/>
              </w:rPr>
              <w:t>- and -</w:t>
            </w:r>
            <w:r w:rsidRPr="0084614F">
              <w:rPr>
                <w:lang w:val="en-US"/>
              </w:rPr>
              <w:br/>
            </w:r>
          </w:p>
          <w:p w14:paraId="1D54A7DC" w14:textId="77777777" w:rsidR="00F962F8" w:rsidRPr="00F962F8" w:rsidRDefault="00F962F8">
            <w:pPr>
              <w:pStyle w:val="SCCLsocParty"/>
              <w:rPr>
                <w:lang w:val="en-US"/>
              </w:rPr>
            </w:pPr>
            <w:r w:rsidRPr="00F962F8">
              <w:rPr>
                <w:lang w:val="en-US"/>
              </w:rPr>
              <w:t>Royal Bank of Canada and</w:t>
            </w:r>
          </w:p>
          <w:p w14:paraId="1D54A7DD" w14:textId="5BF2CE1F" w:rsidR="0049307E" w:rsidRPr="00F962F8" w:rsidRDefault="00F962F8">
            <w:pPr>
              <w:pStyle w:val="SCCLsocParty"/>
              <w:rPr>
                <w:lang w:val="en-US"/>
              </w:rPr>
            </w:pPr>
            <w:r w:rsidRPr="00F962F8">
              <w:rPr>
                <w:lang w:val="en-US"/>
              </w:rPr>
              <w:t>Toronto</w:t>
            </w:r>
            <w:r w:rsidR="00437455">
              <w:rPr>
                <w:lang w:val="en-US"/>
              </w:rPr>
              <w:t>-</w:t>
            </w:r>
            <w:r w:rsidRPr="00F962F8">
              <w:rPr>
                <w:lang w:val="en-US"/>
              </w:rPr>
              <w:t>Dominion</w:t>
            </w:r>
            <w:r>
              <w:rPr>
                <w:lang w:val="en-US"/>
              </w:rPr>
              <w:t xml:space="preserve"> Bank</w:t>
            </w:r>
            <w:r w:rsidRPr="00F962F8">
              <w:rPr>
                <w:lang w:val="en-US"/>
              </w:rPr>
              <w:br/>
            </w:r>
          </w:p>
          <w:p w14:paraId="1D54A7DE" w14:textId="77777777" w:rsidR="0049307E" w:rsidRDefault="00F962F8">
            <w:pPr>
              <w:pStyle w:val="SCCLsocPartyRole"/>
            </w:pPr>
            <w:r>
              <w:t>Interveners</w:t>
            </w:r>
          </w:p>
        </w:tc>
      </w:tr>
      <w:tr w:rsidR="00824412" w:rsidRPr="0062554E" w14:paraId="1D54A7E3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1D54A7E0" w14:textId="77777777" w:rsidR="00824412" w:rsidRPr="00F962F8" w:rsidRDefault="00824412" w:rsidP="00375294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D54A7E1" w14:textId="77777777" w:rsidR="00824412" w:rsidRPr="00F962F8" w:rsidRDefault="00824412" w:rsidP="00375294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D54A7E2" w14:textId="77777777" w:rsidR="00824412" w:rsidRPr="00F962F8" w:rsidRDefault="00824412" w:rsidP="00B408F8">
            <w:pPr>
              <w:rPr>
                <w:lang w:val="fr-FR"/>
              </w:rPr>
            </w:pPr>
          </w:p>
        </w:tc>
      </w:tr>
      <w:tr w:rsidR="00824412" w:rsidRPr="0084614F" w14:paraId="1D54A7EB" w14:textId="77777777" w:rsidTr="00B37A52">
        <w:tc>
          <w:tcPr>
            <w:tcW w:w="2269" w:type="pct"/>
          </w:tcPr>
          <w:p w14:paraId="1D54A7E4" w14:textId="77777777" w:rsidR="0027081E" w:rsidRPr="0084614F" w:rsidRDefault="0027081E" w:rsidP="0027081E">
            <w:pPr>
              <w:jc w:val="center"/>
            </w:pPr>
            <w:r w:rsidRPr="0084614F">
              <w:t>JUGEMENT</w:t>
            </w:r>
          </w:p>
          <w:p w14:paraId="1D54A7E5" w14:textId="77777777" w:rsidR="0027081E" w:rsidRPr="0084614F" w:rsidRDefault="0027081E" w:rsidP="0027081E">
            <w:pPr>
              <w:jc w:val="center"/>
            </w:pPr>
          </w:p>
          <w:p w14:paraId="1D54A7E6" w14:textId="3614DB3F" w:rsidR="00622562" w:rsidRPr="0084614F" w:rsidRDefault="00563B9F" w:rsidP="00F962F8">
            <w:pPr>
              <w:jc w:val="both"/>
            </w:pPr>
            <w:r w:rsidRPr="0084614F">
              <w:t xml:space="preserve">La requête en prorogation de délai de signification de la réponse à la demande d’autorisation d’appel aux intervenantes est accueillie. </w:t>
            </w:r>
            <w:r w:rsidR="0027081E" w:rsidRPr="0084614F">
              <w:t xml:space="preserve">La demande d’autorisation d’appel de l’arrêt de la Cour d’appel du Québec (Montréal), numéro 500-09-027198-175, </w:t>
            </w:r>
            <w:r w:rsidR="00F962F8" w:rsidRPr="0084614F">
              <w:t xml:space="preserve">2019 QCCA 963, </w:t>
            </w:r>
            <w:r w:rsidR="0027081E" w:rsidRPr="0084614F">
              <w:t xml:space="preserve">daté du </w:t>
            </w:r>
            <w:r w:rsidR="0027081E" w:rsidRPr="0084614F">
              <w:lastRenderedPageBreak/>
              <w:t>4 juin 2019</w:t>
            </w:r>
            <w:r w:rsidR="00F962F8" w:rsidRPr="0084614F">
              <w:t>, est rejetée avec dépens en faveur de l’intimée</w:t>
            </w:r>
            <w:r w:rsidR="004D2B6D" w:rsidRPr="0084614F">
              <w:t>,</w:t>
            </w:r>
            <w:r w:rsidR="00F962F8" w:rsidRPr="0084614F">
              <w:t xml:space="preserve"> Raymond Chabot inc.</w:t>
            </w:r>
          </w:p>
        </w:tc>
        <w:tc>
          <w:tcPr>
            <w:tcW w:w="381" w:type="pct"/>
          </w:tcPr>
          <w:p w14:paraId="1D54A7E7" w14:textId="77777777" w:rsidR="00824412" w:rsidRPr="0084614F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D54A7E8" w14:textId="77777777" w:rsidR="0027081E" w:rsidRPr="0084614F" w:rsidRDefault="0027081E" w:rsidP="0027081E">
            <w:pPr>
              <w:jc w:val="center"/>
              <w:rPr>
                <w:lang w:val="en-CA"/>
              </w:rPr>
            </w:pPr>
            <w:r w:rsidRPr="0084614F">
              <w:rPr>
                <w:lang w:val="en-CA"/>
              </w:rPr>
              <w:t>JUDGMENT</w:t>
            </w:r>
          </w:p>
          <w:p w14:paraId="1D54A7E9" w14:textId="77777777" w:rsidR="0027081E" w:rsidRPr="0084614F" w:rsidRDefault="0027081E" w:rsidP="0027081E">
            <w:pPr>
              <w:jc w:val="center"/>
              <w:rPr>
                <w:lang w:val="en-CA"/>
              </w:rPr>
            </w:pPr>
          </w:p>
          <w:p w14:paraId="1D54A7EA" w14:textId="1650C896" w:rsidR="00622562" w:rsidRPr="0084614F" w:rsidRDefault="00563B9F" w:rsidP="00F962F8">
            <w:pPr>
              <w:jc w:val="both"/>
              <w:rPr>
                <w:lang w:val="en-US"/>
              </w:rPr>
            </w:pPr>
            <w:r w:rsidRPr="0084614F">
              <w:rPr>
                <w:lang w:val="en-CA"/>
              </w:rPr>
              <w:t xml:space="preserve">The motion for an extension of time to serve the response to the application for leave to appeal to the interveners is granted. </w:t>
            </w:r>
            <w:r w:rsidR="0027081E" w:rsidRPr="0084614F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84614F">
              <w:rPr>
                <w:lang w:val="en-CA"/>
              </w:rPr>
              <w:t xml:space="preserve"> </w:t>
            </w:r>
            <w:r w:rsidR="0027081E" w:rsidRPr="0084614F">
              <w:rPr>
                <w:lang w:val="en-US"/>
              </w:rPr>
              <w:t>Court of Appeal of Quebec (Montréal)</w:t>
            </w:r>
            <w:r w:rsidR="0027081E" w:rsidRPr="0084614F">
              <w:rPr>
                <w:lang w:val="en-CA"/>
              </w:rPr>
              <w:t xml:space="preserve">, Number </w:t>
            </w:r>
            <w:r w:rsidR="0027081E" w:rsidRPr="0084614F">
              <w:rPr>
                <w:lang w:val="en-US"/>
              </w:rPr>
              <w:t>500-09-027198-175</w:t>
            </w:r>
            <w:r w:rsidR="0027081E" w:rsidRPr="0084614F">
              <w:rPr>
                <w:lang w:val="en-CA"/>
              </w:rPr>
              <w:t>,</w:t>
            </w:r>
            <w:r w:rsidR="00F962F8" w:rsidRPr="0084614F">
              <w:rPr>
                <w:lang w:val="en-CA"/>
              </w:rPr>
              <w:t xml:space="preserve"> </w:t>
            </w:r>
            <w:r w:rsidR="0027081E" w:rsidRPr="0084614F">
              <w:rPr>
                <w:lang w:val="en-CA"/>
              </w:rPr>
              <w:t xml:space="preserve"> </w:t>
            </w:r>
            <w:r w:rsidR="00F962F8" w:rsidRPr="0084614F">
              <w:rPr>
                <w:lang w:val="en-US"/>
              </w:rPr>
              <w:t xml:space="preserve">2019 QCCA 963, </w:t>
            </w:r>
            <w:r w:rsidR="0027081E" w:rsidRPr="0084614F">
              <w:rPr>
                <w:lang w:val="en-CA"/>
              </w:rPr>
              <w:t xml:space="preserve">dated </w:t>
            </w:r>
            <w:r w:rsidR="0027081E" w:rsidRPr="0084614F">
              <w:rPr>
                <w:lang w:val="en-US"/>
              </w:rPr>
              <w:t>June 4, 2019</w:t>
            </w:r>
            <w:r w:rsidR="00437455" w:rsidRPr="0084614F">
              <w:rPr>
                <w:lang w:val="en-US"/>
              </w:rPr>
              <w:t>,</w:t>
            </w:r>
            <w:r w:rsidR="0027081E" w:rsidRPr="0084614F">
              <w:rPr>
                <w:lang w:val="en-CA"/>
              </w:rPr>
              <w:t xml:space="preserve"> is </w:t>
            </w:r>
            <w:r w:rsidR="00F962F8" w:rsidRPr="0084614F">
              <w:rPr>
                <w:lang w:val="en-CA"/>
              </w:rPr>
              <w:lastRenderedPageBreak/>
              <w:t xml:space="preserve">dismissed with </w:t>
            </w:r>
            <w:r w:rsidR="004D2B6D" w:rsidRPr="0084614F">
              <w:rPr>
                <w:lang w:val="en-CA"/>
              </w:rPr>
              <w:t xml:space="preserve">costs </w:t>
            </w:r>
            <w:r w:rsidR="00F962F8" w:rsidRPr="0084614F">
              <w:rPr>
                <w:lang w:val="en-CA"/>
              </w:rPr>
              <w:t>to the respondent</w:t>
            </w:r>
            <w:r w:rsidR="004D2B6D" w:rsidRPr="0084614F">
              <w:rPr>
                <w:lang w:val="en-CA"/>
              </w:rPr>
              <w:t>,</w:t>
            </w:r>
            <w:r w:rsidR="00F962F8" w:rsidRPr="0084614F">
              <w:rPr>
                <w:lang w:val="en-CA"/>
              </w:rPr>
              <w:t xml:space="preserve"> Raymond Chabot inc.</w:t>
            </w:r>
            <w:r w:rsidR="00011960" w:rsidRPr="0084614F">
              <w:rPr>
                <w:lang w:val="en-CA"/>
              </w:rPr>
              <w:t xml:space="preserve"> </w:t>
            </w:r>
          </w:p>
        </w:tc>
      </w:tr>
    </w:tbl>
    <w:p w14:paraId="1D54A7EC" w14:textId="77777777" w:rsidR="009F436C" w:rsidRPr="002C29B6" w:rsidRDefault="009F436C" w:rsidP="00382FEC">
      <w:pPr>
        <w:rPr>
          <w:lang w:val="en-US"/>
        </w:rPr>
      </w:pPr>
    </w:p>
    <w:p w14:paraId="1D54A7ED" w14:textId="77777777" w:rsidR="009F436C" w:rsidRPr="002C29B6" w:rsidRDefault="009F436C" w:rsidP="00417FB7">
      <w:pPr>
        <w:jc w:val="center"/>
        <w:rPr>
          <w:lang w:val="en-US"/>
        </w:rPr>
      </w:pPr>
    </w:p>
    <w:p w14:paraId="1D54A7EE" w14:textId="77777777" w:rsidR="009F436C" w:rsidRPr="002C29B6" w:rsidRDefault="009F436C" w:rsidP="00417FB7">
      <w:pPr>
        <w:jc w:val="center"/>
        <w:rPr>
          <w:lang w:val="en-US"/>
        </w:rPr>
      </w:pPr>
    </w:p>
    <w:p w14:paraId="7AA9DE28" w14:textId="77777777" w:rsidR="004D2B6D" w:rsidRDefault="004D2B6D" w:rsidP="00655333">
      <w:pPr>
        <w:jc w:val="center"/>
        <w:rPr>
          <w:lang w:val="en-US"/>
        </w:rPr>
      </w:pPr>
    </w:p>
    <w:p w14:paraId="13D5BC8D" w14:textId="77777777" w:rsidR="00563B9F" w:rsidRDefault="00563B9F" w:rsidP="00655333">
      <w:pPr>
        <w:jc w:val="center"/>
        <w:rPr>
          <w:lang w:val="en-US"/>
        </w:rPr>
      </w:pPr>
    </w:p>
    <w:p w14:paraId="09AF354F" w14:textId="77777777" w:rsidR="00563B9F" w:rsidRDefault="00563B9F" w:rsidP="00655333">
      <w:pPr>
        <w:jc w:val="center"/>
        <w:rPr>
          <w:lang w:val="en-US"/>
        </w:rPr>
      </w:pPr>
    </w:p>
    <w:p w14:paraId="219CC123" w14:textId="77777777" w:rsidR="00563B9F" w:rsidRDefault="00563B9F" w:rsidP="00655333">
      <w:pPr>
        <w:jc w:val="center"/>
        <w:rPr>
          <w:lang w:val="en-US"/>
        </w:rPr>
      </w:pPr>
    </w:p>
    <w:p w14:paraId="1D54A7EF" w14:textId="77777777" w:rsidR="00655333" w:rsidRPr="00F962F8" w:rsidRDefault="00655333" w:rsidP="00655333">
      <w:pPr>
        <w:jc w:val="center"/>
        <w:rPr>
          <w:lang w:val="en-US"/>
        </w:rPr>
      </w:pPr>
      <w:r w:rsidRPr="00F962F8">
        <w:rPr>
          <w:lang w:val="en-US"/>
        </w:rPr>
        <w:t>J.C.C.</w:t>
      </w:r>
    </w:p>
    <w:p w14:paraId="1D54A7F0" w14:textId="77777777" w:rsidR="00655333" w:rsidRPr="00F962F8" w:rsidRDefault="00655333" w:rsidP="00F962F8">
      <w:pPr>
        <w:jc w:val="center"/>
        <w:rPr>
          <w:lang w:val="en-US"/>
        </w:rPr>
      </w:pPr>
      <w:r w:rsidRPr="00F962F8">
        <w:rPr>
          <w:lang w:val="en-US"/>
        </w:rPr>
        <w:t>C.J.C.</w:t>
      </w:r>
    </w:p>
    <w:sectPr w:rsidR="00655333" w:rsidRPr="00F962F8" w:rsidSect="0084614F">
      <w:headerReference w:type="default" r:id="rId9"/>
      <w:headerReference w:type="first" r:id="rId10"/>
      <w:type w:val="continuous"/>
      <w:pgSz w:w="12240" w:h="15840"/>
      <w:pgMar w:top="720" w:right="1440" w:bottom="16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4A7F3" w14:textId="77777777" w:rsidR="00D27D4E" w:rsidRDefault="00D27D4E">
      <w:r>
        <w:separator/>
      </w:r>
    </w:p>
  </w:endnote>
  <w:endnote w:type="continuationSeparator" w:id="0">
    <w:p w14:paraId="1D54A7F4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4A7F1" w14:textId="77777777" w:rsidR="00D27D4E" w:rsidRDefault="00D27D4E">
      <w:r>
        <w:separator/>
      </w:r>
    </w:p>
  </w:footnote>
  <w:footnote w:type="continuationSeparator" w:id="0">
    <w:p w14:paraId="1D54A7F2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A7F5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674292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D54A7F6" w14:textId="77777777" w:rsidR="00401B64" w:rsidRDefault="00401B64" w:rsidP="00401B64">
    <w:pPr>
      <w:rPr>
        <w:szCs w:val="24"/>
      </w:rPr>
    </w:pPr>
  </w:p>
  <w:p w14:paraId="1D54A7F7" w14:textId="77777777" w:rsidR="00401B64" w:rsidRDefault="00401B64" w:rsidP="00401B64">
    <w:pPr>
      <w:rPr>
        <w:szCs w:val="24"/>
      </w:rPr>
    </w:pPr>
  </w:p>
  <w:p w14:paraId="1D54A7F8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38769</w:t>
    </w:r>
    <w:r w:rsidR="00401B64">
      <w:rPr>
        <w:szCs w:val="24"/>
      </w:rPr>
      <w:t>     </w:t>
    </w:r>
  </w:p>
  <w:p w14:paraId="1D54A7F9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1D54A7FA" w14:textId="77777777" w:rsidR="000452C9" w:rsidRDefault="000452C9" w:rsidP="000452C9"/>
      <w:p w14:paraId="1D54A7FB" w14:textId="77777777" w:rsidR="000452C9" w:rsidRPr="001E26DB" w:rsidRDefault="000452C9" w:rsidP="000452C9"/>
      <w:p w14:paraId="1D54A7FC" w14:textId="77777777" w:rsidR="000452C9" w:rsidRPr="001E26DB" w:rsidRDefault="000452C9" w:rsidP="000452C9"/>
      <w:p w14:paraId="1D54A7FD" w14:textId="77777777" w:rsidR="000452C9" w:rsidRDefault="000452C9" w:rsidP="000452C9"/>
      <w:p w14:paraId="1D54A7FE" w14:textId="77777777" w:rsidR="000452C9" w:rsidRDefault="000452C9" w:rsidP="000452C9"/>
      <w:p w14:paraId="1D54A7FF" w14:textId="77777777" w:rsidR="000452C9" w:rsidRDefault="000452C9" w:rsidP="000452C9"/>
      <w:p w14:paraId="1D54A800" w14:textId="77777777" w:rsidR="000452C9" w:rsidRDefault="000452C9" w:rsidP="000452C9"/>
      <w:p w14:paraId="1D54A801" w14:textId="77777777" w:rsidR="000452C9" w:rsidRPr="001E26DB" w:rsidRDefault="000452C9" w:rsidP="000452C9"/>
      <w:p w14:paraId="1D54A802" w14:textId="77777777" w:rsidR="000452C9" w:rsidRPr="001E26DB" w:rsidRDefault="000452C9" w:rsidP="000452C9"/>
      <w:p w14:paraId="1D54A803" w14:textId="77777777" w:rsidR="000452C9" w:rsidRDefault="000452C9" w:rsidP="000452C9">
        <w:pPr>
          <w:pStyle w:val="Header"/>
        </w:pPr>
      </w:p>
      <w:p w14:paraId="1D54A804" w14:textId="77777777" w:rsidR="001D6D96" w:rsidRPr="000452C9" w:rsidRDefault="00674292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37455"/>
    <w:rsid w:val="00474535"/>
    <w:rsid w:val="0049307E"/>
    <w:rsid w:val="004943CF"/>
    <w:rsid w:val="004956DA"/>
    <w:rsid w:val="004D2B6D"/>
    <w:rsid w:val="004F63BA"/>
    <w:rsid w:val="00504B7F"/>
    <w:rsid w:val="00524C94"/>
    <w:rsid w:val="00563B9F"/>
    <w:rsid w:val="00563E2C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74292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C5A95"/>
    <w:rsid w:val="007F41D5"/>
    <w:rsid w:val="00816B78"/>
    <w:rsid w:val="00823BF1"/>
    <w:rsid w:val="00824412"/>
    <w:rsid w:val="008262A3"/>
    <w:rsid w:val="00830BBE"/>
    <w:rsid w:val="0084614F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962F8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D54A7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13192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05B899-D9BD-4FB0-B962-281D4465DB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BC9EC2D-4E84-4A31-A81B-96BC5D911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E1968-8BFD-4FC6-BE68-75A144FE34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2020-01-14T14:25:00Z</dcterms:created>
  <dcterms:modified xsi:type="dcterms:W3CDTF">2020-01-14T14:25:00Z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