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9FAE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38758</w:t>
      </w:r>
      <w:r w:rsidR="00E81C0B" w:rsidRPr="001E26DB">
        <w:t>     </w:t>
      </w:r>
    </w:p>
    <w:p w14:paraId="0F19FAEE" w14:textId="77777777" w:rsidR="009F436C" w:rsidRPr="001E26DB" w:rsidRDefault="009F436C" w:rsidP="00382FEC"/>
    <w:p w14:paraId="0F19FAE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0F19FAF3" w14:textId="77777777" w:rsidTr="00F777C3">
        <w:tc>
          <w:tcPr>
            <w:tcW w:w="2308" w:type="pct"/>
          </w:tcPr>
          <w:p w14:paraId="0F19FAF0" w14:textId="77777777" w:rsidR="00417FB7" w:rsidRPr="001E26DB" w:rsidRDefault="00F777C3" w:rsidP="008262A3">
            <w:r>
              <w:t>Le 30</w:t>
            </w:r>
            <w:r w:rsidR="0062554E">
              <w:t xml:space="preserve"> avril 2020</w:t>
            </w:r>
          </w:p>
        </w:tc>
        <w:tc>
          <w:tcPr>
            <w:tcW w:w="342" w:type="pct"/>
          </w:tcPr>
          <w:p w14:paraId="0F19FAF1" w14:textId="77777777" w:rsidR="00417FB7" w:rsidRPr="001E26DB" w:rsidRDefault="00417FB7" w:rsidP="00382FEC"/>
        </w:tc>
        <w:tc>
          <w:tcPr>
            <w:tcW w:w="2350" w:type="pct"/>
          </w:tcPr>
          <w:p w14:paraId="0F19FAF2" w14:textId="77777777" w:rsidR="00417FB7" w:rsidRPr="001E26DB" w:rsidRDefault="00F777C3" w:rsidP="0027081E">
            <w:pPr>
              <w:rPr>
                <w:lang w:val="en-CA"/>
              </w:rPr>
            </w:pPr>
            <w:r>
              <w:t>April 30</w:t>
            </w:r>
            <w:r w:rsidR="0062554E">
              <w:t>, 2020</w:t>
            </w:r>
          </w:p>
        </w:tc>
      </w:tr>
      <w:tr w:rsidR="00C2612E" w:rsidRPr="0062554E" w14:paraId="0F19FAF7" w14:textId="77777777" w:rsidTr="00F777C3">
        <w:tc>
          <w:tcPr>
            <w:tcW w:w="2308" w:type="pct"/>
            <w:tcMar>
              <w:top w:w="0" w:type="dxa"/>
              <w:bottom w:w="0" w:type="dxa"/>
            </w:tcMar>
          </w:tcPr>
          <w:p w14:paraId="0F19FAF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0F19FAF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19FAF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F19FB05" w14:textId="77777777" w:rsidTr="00F777C3">
        <w:tc>
          <w:tcPr>
            <w:tcW w:w="2308" w:type="pct"/>
          </w:tcPr>
          <w:p w14:paraId="0F19FAF8" w14:textId="77777777" w:rsidR="005F6519" w:rsidRDefault="00C16812">
            <w:pPr>
              <w:pStyle w:val="SCCLsocPrefix"/>
            </w:pPr>
            <w:r>
              <w:t>ENTRE :</w:t>
            </w:r>
            <w:r>
              <w:br/>
            </w:r>
          </w:p>
          <w:p w14:paraId="0F19FAF9" w14:textId="520A7DE7" w:rsidR="005F6519" w:rsidRDefault="00C16812">
            <w:pPr>
              <w:pStyle w:val="SCCLsocParty"/>
            </w:pPr>
            <w:r>
              <w:t>Vidéotron Ltée, T</w:t>
            </w:r>
            <w:r w:rsidR="007D26AD">
              <w:t>ELUS</w:t>
            </w:r>
            <w:r>
              <w:t xml:space="preserve"> Communications Inc., </w:t>
            </w:r>
            <w:r w:rsidRPr="007D26AD">
              <w:t>Rogers Communic</w:t>
            </w:r>
            <w:r w:rsidR="00F777C3" w:rsidRPr="007D26AD">
              <w:t>ations Canada Inc., Bell Canada et</w:t>
            </w:r>
            <w:r w:rsidRPr="007D26AD">
              <w:t xml:space="preserve"> Cogeco Connexion Inc.</w:t>
            </w:r>
            <w:r>
              <w:br/>
            </w:r>
          </w:p>
          <w:p w14:paraId="0F19FAFA" w14:textId="70F39707" w:rsidR="005F6519" w:rsidRDefault="00F777C3">
            <w:pPr>
              <w:pStyle w:val="SCCLsocPartyRole"/>
            </w:pPr>
            <w:r>
              <w:t>Demande</w:t>
            </w:r>
            <w:r w:rsidR="007D26AD">
              <w:t>resses</w:t>
            </w:r>
            <w:r w:rsidR="00C16812">
              <w:br/>
            </w:r>
          </w:p>
          <w:p w14:paraId="0F19FAFB" w14:textId="77777777" w:rsidR="005F6519" w:rsidRDefault="00C16812">
            <w:pPr>
              <w:pStyle w:val="SCCLsocVersus"/>
            </w:pPr>
            <w:r>
              <w:t>- et -</w:t>
            </w:r>
            <w:r>
              <w:br/>
            </w:r>
          </w:p>
          <w:p w14:paraId="0F19FAFC" w14:textId="4BF5DB28" w:rsidR="005F6519" w:rsidRDefault="00C16812">
            <w:pPr>
              <w:pStyle w:val="SCCLsocParty"/>
            </w:pPr>
            <w:r>
              <w:t>Ville d</w:t>
            </w:r>
            <w:r w:rsidR="00F777C3">
              <w:t>e Gatineau, Ville de Terrebonne et</w:t>
            </w:r>
            <w:r>
              <w:t xml:space="preserve"> </w:t>
            </w:r>
            <w:r w:rsidR="007D26AD">
              <w:t>p</w:t>
            </w:r>
            <w:r>
              <w:t>rocureure générale du Québec</w:t>
            </w:r>
            <w:r>
              <w:br/>
            </w:r>
          </w:p>
          <w:p w14:paraId="0F19FAFD" w14:textId="77777777" w:rsidR="005F6519" w:rsidRDefault="00F777C3">
            <w:pPr>
              <w:pStyle w:val="SCCLsocPartyRole"/>
            </w:pPr>
            <w:r>
              <w:t>Intimée</w:t>
            </w:r>
            <w:r w:rsidR="00C16812">
              <w:t>s</w:t>
            </w:r>
          </w:p>
        </w:tc>
        <w:tc>
          <w:tcPr>
            <w:tcW w:w="342" w:type="pct"/>
          </w:tcPr>
          <w:p w14:paraId="0F19FAF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F19FAFF" w14:textId="77777777" w:rsidR="005F6519" w:rsidRPr="00F777C3" w:rsidRDefault="00C16812">
            <w:pPr>
              <w:pStyle w:val="SCCLsocPrefix"/>
              <w:rPr>
                <w:lang w:val="en-US"/>
              </w:rPr>
            </w:pPr>
            <w:r w:rsidRPr="00F777C3">
              <w:rPr>
                <w:lang w:val="en-US"/>
              </w:rPr>
              <w:t>BETWEEN:</w:t>
            </w:r>
            <w:r w:rsidRPr="00F777C3">
              <w:rPr>
                <w:lang w:val="en-US"/>
              </w:rPr>
              <w:br/>
            </w:r>
          </w:p>
          <w:p w14:paraId="0F19FB00" w14:textId="31E571DD" w:rsidR="005F6519" w:rsidRPr="008A24F3" w:rsidRDefault="00C16812">
            <w:pPr>
              <w:pStyle w:val="SCCLsocParty"/>
              <w:rPr>
                <w:lang w:val="en-US"/>
              </w:rPr>
            </w:pPr>
            <w:r w:rsidRPr="008A24F3">
              <w:rPr>
                <w:lang w:val="en-US"/>
              </w:rPr>
              <w:t>Videotron Ltd., T</w:t>
            </w:r>
            <w:r w:rsidR="007D26AD" w:rsidRPr="008A24F3">
              <w:rPr>
                <w:lang w:val="en-US"/>
              </w:rPr>
              <w:t xml:space="preserve">ELUS </w:t>
            </w:r>
            <w:r w:rsidRPr="008A24F3">
              <w:rPr>
                <w:lang w:val="en-US"/>
              </w:rPr>
              <w:t>Communications Inc., Rogers Communic</w:t>
            </w:r>
            <w:r w:rsidR="00F777C3" w:rsidRPr="008A24F3">
              <w:rPr>
                <w:lang w:val="en-US"/>
              </w:rPr>
              <w:t>ations Canada Inc., Bell Canada and</w:t>
            </w:r>
            <w:r w:rsidRPr="008A24F3">
              <w:rPr>
                <w:lang w:val="en-US"/>
              </w:rPr>
              <w:t xml:space="preserve"> Cogeco Connexion Inc.</w:t>
            </w:r>
            <w:r w:rsidRPr="008A24F3">
              <w:rPr>
                <w:lang w:val="en-US"/>
              </w:rPr>
              <w:br/>
            </w:r>
          </w:p>
          <w:p w14:paraId="0F19FB01" w14:textId="77777777" w:rsidR="005F6519" w:rsidRPr="008A24F3" w:rsidRDefault="00C16812">
            <w:pPr>
              <w:pStyle w:val="SCCLsocPartyRole"/>
              <w:rPr>
                <w:lang w:val="en-US"/>
              </w:rPr>
            </w:pPr>
            <w:r w:rsidRPr="008A24F3">
              <w:rPr>
                <w:lang w:val="en-US"/>
              </w:rPr>
              <w:t>Applicants</w:t>
            </w:r>
            <w:r w:rsidRPr="008A24F3">
              <w:rPr>
                <w:lang w:val="en-US"/>
              </w:rPr>
              <w:br/>
            </w:r>
          </w:p>
          <w:p w14:paraId="0F19FB02" w14:textId="77777777" w:rsidR="005F6519" w:rsidRPr="008A24F3" w:rsidRDefault="00C16812">
            <w:pPr>
              <w:pStyle w:val="SCCLsocVersus"/>
              <w:rPr>
                <w:lang w:val="en-US"/>
              </w:rPr>
            </w:pPr>
            <w:r w:rsidRPr="008A24F3">
              <w:rPr>
                <w:lang w:val="en-US"/>
              </w:rPr>
              <w:t>- and -</w:t>
            </w:r>
            <w:r w:rsidRPr="008A24F3">
              <w:rPr>
                <w:lang w:val="en-US"/>
              </w:rPr>
              <w:br/>
            </w:r>
          </w:p>
          <w:p w14:paraId="0F19FB03" w14:textId="77777777" w:rsidR="005F6519" w:rsidRPr="00F777C3" w:rsidRDefault="00C16812">
            <w:pPr>
              <w:pStyle w:val="SCCLsocParty"/>
              <w:rPr>
                <w:lang w:val="fr-FR"/>
              </w:rPr>
            </w:pPr>
            <w:r w:rsidRPr="00F777C3">
              <w:rPr>
                <w:lang w:val="fr-FR"/>
              </w:rPr>
              <w:t>Ville d</w:t>
            </w:r>
            <w:r w:rsidR="00F777C3" w:rsidRPr="00F777C3">
              <w:rPr>
                <w:lang w:val="fr-FR"/>
              </w:rPr>
              <w:t>e Gatineau, Ville de Terrebonne and</w:t>
            </w:r>
            <w:r w:rsidRPr="00F777C3">
              <w:rPr>
                <w:lang w:val="fr-FR"/>
              </w:rPr>
              <w:t xml:space="preserve"> Attorney General of Québec</w:t>
            </w:r>
            <w:r w:rsidRPr="00F777C3">
              <w:rPr>
                <w:lang w:val="fr-FR"/>
              </w:rPr>
              <w:br/>
            </w:r>
          </w:p>
          <w:p w14:paraId="0F19FB04" w14:textId="77777777" w:rsidR="005F6519" w:rsidRDefault="00C16812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F19FB09" w14:textId="77777777" w:rsidTr="00F777C3">
        <w:tc>
          <w:tcPr>
            <w:tcW w:w="2308" w:type="pct"/>
            <w:tcMar>
              <w:top w:w="0" w:type="dxa"/>
              <w:bottom w:w="0" w:type="dxa"/>
            </w:tcMar>
          </w:tcPr>
          <w:p w14:paraId="0F19FB06" w14:textId="77777777" w:rsidR="00824412" w:rsidRPr="008A24F3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0F19FB07" w14:textId="77777777" w:rsidR="00824412" w:rsidRPr="008A24F3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19FB08" w14:textId="77777777" w:rsidR="00824412" w:rsidRPr="008A24F3" w:rsidRDefault="00824412" w:rsidP="00B408F8"/>
        </w:tc>
      </w:tr>
      <w:tr w:rsidR="00824412" w:rsidRPr="008A24F3" w14:paraId="0F19FB11" w14:textId="77777777" w:rsidTr="00F777C3">
        <w:tc>
          <w:tcPr>
            <w:tcW w:w="2308" w:type="pct"/>
          </w:tcPr>
          <w:p w14:paraId="0F19FB0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F19FB0B" w14:textId="77777777" w:rsidR="0027081E" w:rsidRPr="001E26DB" w:rsidRDefault="0027081E" w:rsidP="0027081E">
            <w:pPr>
              <w:jc w:val="center"/>
            </w:pPr>
          </w:p>
          <w:p w14:paraId="0F19FB0C" w14:textId="25A9F975" w:rsidR="00622562" w:rsidRPr="001E26DB" w:rsidRDefault="0027081E" w:rsidP="000C2A8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F777C3">
              <w:t>s</w:t>
            </w:r>
            <w:r w:rsidRPr="001E26DB">
              <w:t xml:space="preserve"> </w:t>
            </w:r>
            <w:r>
              <w:t>500-0</w:t>
            </w:r>
            <w:r w:rsidR="00F777C3">
              <w:t>9-027032-176, 500-09-027042-175 et</w:t>
            </w:r>
            <w:r>
              <w:t xml:space="preserve"> 500-09-027043-173</w:t>
            </w:r>
            <w:r w:rsidRPr="001E26DB">
              <w:t xml:space="preserve">, </w:t>
            </w:r>
            <w:r w:rsidR="00F777C3">
              <w:t xml:space="preserve">2019 QCCA 840, </w:t>
            </w:r>
            <w:r w:rsidRPr="001E26DB">
              <w:t xml:space="preserve">daté du </w:t>
            </w:r>
            <w:r>
              <w:t>10 mai 2019</w:t>
            </w:r>
            <w:r w:rsidRPr="001E26DB">
              <w:t xml:space="preserve">, est </w:t>
            </w:r>
            <w:r w:rsidR="00F777C3" w:rsidRPr="00BC5921">
              <w:rPr>
                <w:color w:val="000000"/>
                <w:szCs w:val="24"/>
              </w:rPr>
              <w:t xml:space="preserve">rejetée avec dépens </w:t>
            </w:r>
            <w:r w:rsidR="00F777C3" w:rsidRPr="00471FD8">
              <w:rPr>
                <w:color w:val="000000"/>
                <w:szCs w:val="24"/>
              </w:rPr>
              <w:t xml:space="preserve">en faveur </w:t>
            </w:r>
            <w:r w:rsidR="00796425" w:rsidRPr="00471FD8">
              <w:rPr>
                <w:color w:val="000000"/>
                <w:szCs w:val="24"/>
              </w:rPr>
              <w:t xml:space="preserve">des intimées, </w:t>
            </w:r>
            <w:r w:rsidR="00F777C3" w:rsidRPr="00471FD8">
              <w:rPr>
                <w:color w:val="000000"/>
                <w:szCs w:val="24"/>
              </w:rPr>
              <w:t>Ville de Gatineau, Ville de Terrebonne et procureure générale du Québec.</w:t>
            </w:r>
            <w:r w:rsidR="00847369">
              <w:rPr>
                <w:color w:val="000000"/>
                <w:szCs w:val="24"/>
              </w:rPr>
              <w:t xml:space="preserve"> </w:t>
            </w:r>
            <w:r w:rsidR="00847369" w:rsidRPr="00BC5921">
              <w:rPr>
                <w:color w:val="000000"/>
                <w:szCs w:val="24"/>
              </w:rPr>
              <w:t>La demande d’autorisation d’appel incident</w:t>
            </w:r>
            <w:r w:rsidR="000C2A84">
              <w:rPr>
                <w:color w:val="000000"/>
                <w:szCs w:val="24"/>
              </w:rPr>
              <w:t xml:space="preserve"> conditionnelle</w:t>
            </w:r>
            <w:r w:rsidR="00847369" w:rsidRPr="00BC5921">
              <w:rPr>
                <w:color w:val="000000"/>
                <w:szCs w:val="24"/>
              </w:rPr>
              <w:t xml:space="preserve"> </w:t>
            </w:r>
            <w:r w:rsidR="00847369">
              <w:rPr>
                <w:color w:val="000000"/>
                <w:szCs w:val="24"/>
              </w:rPr>
              <w:t xml:space="preserve">déposée par l’intimée, procureure générale du Québec, </w:t>
            </w:r>
            <w:r w:rsidR="00847369" w:rsidRPr="00BC5921">
              <w:rPr>
                <w:color w:val="000000"/>
                <w:szCs w:val="24"/>
              </w:rPr>
              <w:t>est rejetée.</w:t>
            </w:r>
            <w:r w:rsidR="00F777C3" w:rsidRPr="00BC5921">
              <w:rPr>
                <w:color w:val="000000"/>
                <w:szCs w:val="24"/>
              </w:rPr>
              <w:t xml:space="preserve"> </w:t>
            </w:r>
            <w:r w:rsidR="00F777C3" w:rsidRPr="00BC5921">
              <w:rPr>
                <w:color w:val="000000"/>
                <w:szCs w:val="24"/>
              </w:rPr>
              <w:lastRenderedPageBreak/>
              <w:t xml:space="preserve">Il n’est pas nécessaire </w:t>
            </w:r>
            <w:r w:rsidR="00847369">
              <w:rPr>
                <w:color w:val="000000"/>
                <w:szCs w:val="24"/>
              </w:rPr>
              <w:t>d’examiner</w:t>
            </w:r>
            <w:r w:rsidR="00F777C3" w:rsidRPr="00BC5921">
              <w:rPr>
                <w:color w:val="000000"/>
                <w:szCs w:val="24"/>
              </w:rPr>
              <w:t xml:space="preserve"> la requête en radiation</w:t>
            </w:r>
            <w:r w:rsidR="00847369">
              <w:rPr>
                <w:color w:val="000000"/>
                <w:szCs w:val="24"/>
              </w:rPr>
              <w:t xml:space="preserve"> déposée par les intimées,</w:t>
            </w:r>
            <w:r w:rsidR="00F777C3" w:rsidRPr="00BC5921">
              <w:rPr>
                <w:color w:val="000000"/>
                <w:szCs w:val="24"/>
              </w:rPr>
              <w:t xml:space="preserve"> Ville de Gatineau et Ville de Terrebonne.</w:t>
            </w:r>
          </w:p>
        </w:tc>
        <w:tc>
          <w:tcPr>
            <w:tcW w:w="342" w:type="pct"/>
          </w:tcPr>
          <w:p w14:paraId="0F19FB0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19FB0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F19FB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F19FB10" w14:textId="0C35CDD8" w:rsidR="00622562" w:rsidRPr="00622562" w:rsidRDefault="0027081E" w:rsidP="00796425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777C3">
              <w:rPr>
                <w:lang w:val="en-US"/>
              </w:rPr>
              <w:t>Court of Appeal of Quebec (Montréal)</w:t>
            </w:r>
            <w:r w:rsidR="00F777C3">
              <w:rPr>
                <w:lang w:val="en-CA"/>
              </w:rPr>
              <w:t xml:space="preserve">, Numbers </w:t>
            </w:r>
            <w:r w:rsidRPr="00F777C3">
              <w:rPr>
                <w:lang w:val="en-US"/>
              </w:rPr>
              <w:t>500-0</w:t>
            </w:r>
            <w:r w:rsidR="00F777C3">
              <w:rPr>
                <w:lang w:val="en-US"/>
              </w:rPr>
              <w:t>9-027032-176, 500-09-027042-175 and</w:t>
            </w:r>
            <w:r w:rsidRPr="00F777C3">
              <w:rPr>
                <w:lang w:val="en-US"/>
              </w:rPr>
              <w:t xml:space="preserve"> 500-09-027043-173</w:t>
            </w:r>
            <w:r w:rsidRPr="001E26DB">
              <w:rPr>
                <w:lang w:val="en-CA"/>
              </w:rPr>
              <w:t xml:space="preserve">, </w:t>
            </w:r>
            <w:r w:rsidR="00F777C3" w:rsidRPr="00F777C3">
              <w:rPr>
                <w:lang w:val="en-US"/>
              </w:rPr>
              <w:t xml:space="preserve">2019 QCCA 840, </w:t>
            </w:r>
            <w:r w:rsidRPr="001E26DB">
              <w:rPr>
                <w:lang w:val="en-CA"/>
              </w:rPr>
              <w:t xml:space="preserve">dated </w:t>
            </w:r>
            <w:r w:rsidRPr="00F777C3">
              <w:rPr>
                <w:lang w:val="en-US"/>
              </w:rPr>
              <w:t>May 10, 2019</w:t>
            </w:r>
            <w:r w:rsidR="00F777C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11960" w:rsidRPr="001E26DB">
              <w:rPr>
                <w:lang w:val="en-CA"/>
              </w:rPr>
              <w:t xml:space="preserve"> </w:t>
            </w:r>
            <w:r w:rsidR="00C16812">
              <w:rPr>
                <w:lang w:val="en-CA"/>
              </w:rPr>
              <w:t xml:space="preserve">dismissed with costs </w:t>
            </w:r>
            <w:r w:rsidR="00C16812" w:rsidRPr="00471FD8">
              <w:rPr>
                <w:lang w:val="en-CA"/>
              </w:rPr>
              <w:t>to the respondents</w:t>
            </w:r>
            <w:r w:rsidR="00796425" w:rsidRPr="00471FD8">
              <w:rPr>
                <w:lang w:val="en-CA"/>
              </w:rPr>
              <w:t>,</w:t>
            </w:r>
            <w:r w:rsidR="00C16812" w:rsidRPr="00471FD8">
              <w:rPr>
                <w:lang w:val="en-CA"/>
              </w:rPr>
              <w:t xml:space="preserve"> </w:t>
            </w:r>
            <w:r w:rsidR="00C16812" w:rsidRPr="00471FD8">
              <w:rPr>
                <w:lang w:val="en-US"/>
              </w:rPr>
              <w:t>Ville de Gatineau, Ville de Terrebonne and Attorney General of Québec.</w:t>
            </w:r>
            <w:r w:rsidR="00C16812">
              <w:rPr>
                <w:lang w:val="en-US"/>
              </w:rPr>
              <w:t xml:space="preserve"> </w:t>
            </w:r>
            <w:r w:rsidR="00847369">
              <w:rPr>
                <w:lang w:val="en-CA"/>
              </w:rPr>
              <w:t xml:space="preserve">The </w:t>
            </w:r>
            <w:r w:rsidR="000C2A84">
              <w:rPr>
                <w:lang w:val="en-CA"/>
              </w:rPr>
              <w:t xml:space="preserve">conditional </w:t>
            </w:r>
            <w:r w:rsidR="00847369">
              <w:rPr>
                <w:lang w:val="en-CA"/>
              </w:rPr>
              <w:t xml:space="preserve">application for leave to cross-appeal filed by the respondent, Attorney General of Québec, is dismissed. </w:t>
            </w:r>
            <w:r w:rsidR="00C16812">
              <w:rPr>
                <w:lang w:val="en-US"/>
              </w:rPr>
              <w:t xml:space="preserve">It is not </w:t>
            </w:r>
            <w:r w:rsidR="00C16812">
              <w:rPr>
                <w:lang w:val="en-US"/>
              </w:rPr>
              <w:lastRenderedPageBreak/>
              <w:t xml:space="preserve">necessary to </w:t>
            </w:r>
            <w:r w:rsidR="00847369">
              <w:rPr>
                <w:lang w:val="en-US"/>
              </w:rPr>
              <w:t xml:space="preserve">consider </w:t>
            </w:r>
            <w:r w:rsidR="00C16812">
              <w:rPr>
                <w:lang w:val="en-US"/>
              </w:rPr>
              <w:t xml:space="preserve">the motion to strike </w:t>
            </w:r>
            <w:r w:rsidR="00847369">
              <w:rPr>
                <w:lang w:val="en-US"/>
              </w:rPr>
              <w:t xml:space="preserve">filed by the respondents, </w:t>
            </w:r>
            <w:r w:rsidR="00C16812">
              <w:rPr>
                <w:lang w:val="en-US"/>
              </w:rPr>
              <w:t>Ville de Gatineau and Ville de Terrebonne.</w:t>
            </w:r>
          </w:p>
        </w:tc>
      </w:tr>
    </w:tbl>
    <w:p w14:paraId="0F19FB12" w14:textId="77777777" w:rsidR="009F436C" w:rsidRDefault="009F436C" w:rsidP="00417FB7">
      <w:pPr>
        <w:jc w:val="center"/>
        <w:rPr>
          <w:lang w:val="en-US"/>
        </w:rPr>
      </w:pPr>
    </w:p>
    <w:p w14:paraId="5A756379" w14:textId="77777777" w:rsidR="00C629C0" w:rsidRDefault="00C629C0" w:rsidP="00417FB7">
      <w:pPr>
        <w:jc w:val="center"/>
        <w:rPr>
          <w:lang w:val="en-US"/>
        </w:rPr>
      </w:pPr>
    </w:p>
    <w:p w14:paraId="64760B85" w14:textId="77777777" w:rsidR="00C629C0" w:rsidRDefault="00C629C0" w:rsidP="00417FB7">
      <w:pPr>
        <w:jc w:val="center"/>
        <w:rPr>
          <w:lang w:val="en-US"/>
        </w:rPr>
      </w:pPr>
    </w:p>
    <w:p w14:paraId="1FA4E31B" w14:textId="77777777" w:rsidR="00C629C0" w:rsidRDefault="00C629C0" w:rsidP="00417FB7">
      <w:pPr>
        <w:jc w:val="center"/>
        <w:rPr>
          <w:lang w:val="en-US"/>
        </w:rPr>
      </w:pPr>
    </w:p>
    <w:p w14:paraId="13A94AF8" w14:textId="77777777" w:rsidR="00C629C0" w:rsidRDefault="00C629C0" w:rsidP="00417FB7">
      <w:pPr>
        <w:jc w:val="center"/>
        <w:rPr>
          <w:lang w:val="en-US"/>
        </w:rPr>
      </w:pPr>
    </w:p>
    <w:p w14:paraId="60ADBC7F" w14:textId="77777777" w:rsidR="00C629C0" w:rsidRDefault="00C629C0" w:rsidP="00417FB7">
      <w:pPr>
        <w:jc w:val="center"/>
        <w:rPr>
          <w:lang w:val="en-US"/>
        </w:rPr>
      </w:pPr>
    </w:p>
    <w:p w14:paraId="04253B04" w14:textId="77777777" w:rsidR="00C629C0" w:rsidRDefault="00C629C0" w:rsidP="00417FB7">
      <w:pPr>
        <w:jc w:val="center"/>
        <w:rPr>
          <w:lang w:val="en-US"/>
        </w:rPr>
      </w:pPr>
    </w:p>
    <w:p w14:paraId="2355CAFE" w14:textId="77777777" w:rsidR="00C629C0" w:rsidRPr="00F777C3" w:rsidRDefault="00C629C0" w:rsidP="00417FB7">
      <w:pPr>
        <w:jc w:val="center"/>
        <w:rPr>
          <w:lang w:val="en-US"/>
        </w:rPr>
      </w:pPr>
    </w:p>
    <w:p w14:paraId="0F19FB13" w14:textId="77777777" w:rsidR="00655333" w:rsidRPr="00F777C3" w:rsidRDefault="00655333" w:rsidP="00655333">
      <w:pPr>
        <w:jc w:val="center"/>
        <w:rPr>
          <w:lang w:val="en-US"/>
        </w:rPr>
      </w:pPr>
      <w:r w:rsidRPr="00F777C3">
        <w:rPr>
          <w:lang w:val="en-US"/>
        </w:rPr>
        <w:t>J.C.C.</w:t>
      </w:r>
    </w:p>
    <w:p w14:paraId="0F19FB14" w14:textId="77777777" w:rsidR="00655333" w:rsidRPr="00F777C3" w:rsidRDefault="00655333" w:rsidP="00C16812">
      <w:pPr>
        <w:jc w:val="center"/>
        <w:rPr>
          <w:lang w:val="en-US"/>
        </w:rPr>
      </w:pPr>
      <w:r w:rsidRPr="00F777C3">
        <w:rPr>
          <w:lang w:val="en-US"/>
        </w:rPr>
        <w:t>C.J.C.</w:t>
      </w:r>
    </w:p>
    <w:sectPr w:rsidR="00655333" w:rsidRPr="00F777C3" w:rsidSect="008A24F3">
      <w:headerReference w:type="default" r:id="rId9"/>
      <w:headerReference w:type="first" r:id="rId10"/>
      <w:type w:val="continuous"/>
      <w:pgSz w:w="12240" w:h="15840"/>
      <w:pgMar w:top="720" w:right="1440" w:bottom="18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9FB17" w14:textId="77777777" w:rsidR="00D27D4E" w:rsidRDefault="00D27D4E">
      <w:r>
        <w:separator/>
      </w:r>
    </w:p>
  </w:endnote>
  <w:endnote w:type="continuationSeparator" w:id="0">
    <w:p w14:paraId="0F19FB1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9FB15" w14:textId="77777777" w:rsidR="00D27D4E" w:rsidRDefault="00D27D4E">
      <w:r>
        <w:separator/>
      </w:r>
    </w:p>
  </w:footnote>
  <w:footnote w:type="continuationSeparator" w:id="0">
    <w:p w14:paraId="0F19FB1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FB1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1035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19FB1A" w14:textId="77777777" w:rsidR="00401B64" w:rsidRDefault="00401B64" w:rsidP="00401B64">
    <w:pPr>
      <w:rPr>
        <w:szCs w:val="24"/>
      </w:rPr>
    </w:pPr>
  </w:p>
  <w:p w14:paraId="0F19FB1B" w14:textId="77777777" w:rsidR="00401B64" w:rsidRDefault="00401B64" w:rsidP="00401B64">
    <w:pPr>
      <w:rPr>
        <w:szCs w:val="24"/>
      </w:rPr>
    </w:pPr>
  </w:p>
  <w:p w14:paraId="0F19FB1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38758</w:t>
    </w:r>
    <w:r w:rsidR="00401B64">
      <w:rPr>
        <w:szCs w:val="24"/>
      </w:rPr>
      <w:t>     </w:t>
    </w:r>
  </w:p>
  <w:p w14:paraId="0F19FB1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F19FB1E" w14:textId="77777777" w:rsidR="000452C9" w:rsidRDefault="000452C9" w:rsidP="000452C9"/>
      <w:p w14:paraId="0F19FB1F" w14:textId="77777777" w:rsidR="000452C9" w:rsidRPr="001E26DB" w:rsidRDefault="000452C9" w:rsidP="000452C9"/>
      <w:p w14:paraId="0F19FB20" w14:textId="77777777" w:rsidR="000452C9" w:rsidRPr="001E26DB" w:rsidRDefault="000452C9" w:rsidP="000452C9"/>
      <w:p w14:paraId="0F19FB21" w14:textId="77777777" w:rsidR="000452C9" w:rsidRDefault="000452C9" w:rsidP="000452C9"/>
      <w:p w14:paraId="0F19FB22" w14:textId="77777777" w:rsidR="000452C9" w:rsidRDefault="000452C9" w:rsidP="000452C9"/>
      <w:p w14:paraId="0F19FB23" w14:textId="77777777" w:rsidR="000452C9" w:rsidRDefault="000452C9" w:rsidP="000452C9"/>
      <w:p w14:paraId="0F19FB24" w14:textId="77777777" w:rsidR="000452C9" w:rsidRDefault="000452C9" w:rsidP="000452C9"/>
      <w:p w14:paraId="0F19FB25" w14:textId="77777777" w:rsidR="000452C9" w:rsidRPr="001E26DB" w:rsidRDefault="000452C9" w:rsidP="000452C9"/>
      <w:p w14:paraId="0F19FB26" w14:textId="77777777" w:rsidR="000452C9" w:rsidRPr="001E26DB" w:rsidRDefault="000452C9" w:rsidP="000452C9"/>
      <w:p w14:paraId="0F19FB27" w14:textId="77777777" w:rsidR="000452C9" w:rsidRDefault="000452C9" w:rsidP="000452C9">
        <w:pPr>
          <w:pStyle w:val="Header"/>
        </w:pPr>
      </w:p>
      <w:p w14:paraId="0F19FB28" w14:textId="77777777" w:rsidR="001D6D96" w:rsidRPr="000452C9" w:rsidRDefault="0031035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2A84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359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1FD8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651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6425"/>
    <w:rsid w:val="007A54CC"/>
    <w:rsid w:val="007B340F"/>
    <w:rsid w:val="007D26AD"/>
    <w:rsid w:val="007F41D5"/>
    <w:rsid w:val="00816B78"/>
    <w:rsid w:val="00823BF1"/>
    <w:rsid w:val="00824412"/>
    <w:rsid w:val="008262A3"/>
    <w:rsid w:val="00830BBE"/>
    <w:rsid w:val="00847369"/>
    <w:rsid w:val="0086042A"/>
    <w:rsid w:val="008813BC"/>
    <w:rsid w:val="008A153F"/>
    <w:rsid w:val="008A24F3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6812"/>
    <w:rsid w:val="00C2612E"/>
    <w:rsid w:val="00C609B7"/>
    <w:rsid w:val="00C629C0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777C3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19F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33CDE-7780-4F4F-9BE4-30D2D3B1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92266-6BC4-4005-8F9A-A7B51AFBE9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EA4E6CD-BE0C-4353-A1BA-5CAFCDBB7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2020-04-24T18:55:00Z</dcterms:created>
  <dcterms:modified xsi:type="dcterms:W3CDTF">2020-04-24T18:55:00Z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