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128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39544</w:t>
      </w:r>
      <w:r w:rsidR="00E81C0B" w:rsidRPr="001E26DB">
        <w:t>     </w:t>
      </w:r>
    </w:p>
    <w:p w14:paraId="0D08128F" w14:textId="77777777" w:rsidR="009F436C" w:rsidRPr="001E26DB" w:rsidRDefault="009F436C" w:rsidP="00382FEC"/>
    <w:p w14:paraId="0D081290" w14:textId="77777777" w:rsidR="003C744C" w:rsidRPr="001E26DB" w:rsidRDefault="003C744C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489"/>
      </w:tblGrid>
      <w:tr w:rsidR="00417FB7" w:rsidRPr="0062554E" w14:paraId="0D081294" w14:textId="77777777" w:rsidTr="0047399C">
        <w:tc>
          <w:tcPr>
            <w:tcW w:w="2248" w:type="pct"/>
          </w:tcPr>
          <w:p w14:paraId="0D081291" w14:textId="77777777" w:rsidR="00417FB7" w:rsidRPr="001E26DB" w:rsidRDefault="00B7660F" w:rsidP="008262A3">
            <w:r>
              <w:t>Le 27</w:t>
            </w:r>
            <w:r w:rsidR="0062554E">
              <w:t xml:space="preserve"> mai 2021</w:t>
            </w:r>
          </w:p>
        </w:tc>
        <w:tc>
          <w:tcPr>
            <w:tcW w:w="377" w:type="pct"/>
          </w:tcPr>
          <w:p w14:paraId="0D081292" w14:textId="77777777" w:rsidR="00417FB7" w:rsidRPr="001E26DB" w:rsidRDefault="00417FB7" w:rsidP="00382FEC"/>
        </w:tc>
        <w:tc>
          <w:tcPr>
            <w:tcW w:w="2375" w:type="pct"/>
          </w:tcPr>
          <w:p w14:paraId="0D081293" w14:textId="77777777" w:rsidR="00417FB7" w:rsidRPr="001E26DB" w:rsidRDefault="00B7660F" w:rsidP="0027081E">
            <w:pPr>
              <w:rPr>
                <w:lang w:val="en-CA"/>
              </w:rPr>
            </w:pPr>
            <w:r>
              <w:t>May 27</w:t>
            </w:r>
            <w:r w:rsidR="0062554E">
              <w:t>, 2021</w:t>
            </w:r>
          </w:p>
        </w:tc>
      </w:tr>
      <w:tr w:rsidR="00C2612E" w:rsidRPr="0062554E" w14:paraId="0D081298" w14:textId="77777777" w:rsidTr="0047399C">
        <w:tc>
          <w:tcPr>
            <w:tcW w:w="2248" w:type="pct"/>
            <w:tcMar>
              <w:top w:w="0" w:type="dxa"/>
              <w:bottom w:w="0" w:type="dxa"/>
            </w:tcMar>
          </w:tcPr>
          <w:p w14:paraId="0D08129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14:paraId="0D08129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0D08129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7660F" w14:paraId="0D0812A8" w14:textId="77777777" w:rsidTr="0047399C">
        <w:tc>
          <w:tcPr>
            <w:tcW w:w="2248" w:type="pct"/>
          </w:tcPr>
          <w:p w14:paraId="0D081299" w14:textId="77777777" w:rsidR="00BE3927" w:rsidRDefault="00B7660F">
            <w:pPr>
              <w:pStyle w:val="SCCLsocPrefix"/>
            </w:pPr>
            <w:r>
              <w:t>ENTRE :</w:t>
            </w:r>
            <w:r>
              <w:br/>
            </w:r>
          </w:p>
          <w:p w14:paraId="0D08129A" w14:textId="77777777" w:rsidR="00B7660F" w:rsidRDefault="00B7660F">
            <w:pPr>
              <w:pStyle w:val="SCCLsocParty"/>
            </w:pPr>
            <w:r>
              <w:t>Procureur général du Québec et</w:t>
            </w:r>
          </w:p>
          <w:p w14:paraId="0D08129B" w14:textId="77777777" w:rsidR="00BE3927" w:rsidRDefault="00B7660F">
            <w:pPr>
              <w:pStyle w:val="SCCLsocParty"/>
            </w:pPr>
            <w:r>
              <w:t>Sa Majesté la Reine</w:t>
            </w:r>
            <w:r>
              <w:br/>
            </w:r>
          </w:p>
          <w:p w14:paraId="0D08129C" w14:textId="77777777" w:rsidR="00BE3927" w:rsidRDefault="00B7660F">
            <w:pPr>
              <w:pStyle w:val="SCCLsocPartyRole"/>
            </w:pPr>
            <w:r>
              <w:t>Demandeurs</w:t>
            </w:r>
            <w:r>
              <w:br/>
            </w:r>
          </w:p>
          <w:p w14:paraId="0D08129D" w14:textId="77777777" w:rsidR="00BE3927" w:rsidRDefault="00B7660F">
            <w:pPr>
              <w:pStyle w:val="SCCLsocVersus"/>
            </w:pPr>
            <w:r>
              <w:t>- et -</w:t>
            </w:r>
            <w:r>
              <w:br/>
            </w:r>
          </w:p>
          <w:p w14:paraId="0D08129E" w14:textId="77777777" w:rsidR="00BE3927" w:rsidRDefault="00B7660F">
            <w:pPr>
              <w:pStyle w:val="SCCLsocParty"/>
            </w:pPr>
            <w:r>
              <w:t>Alexandre Bissonnette</w:t>
            </w:r>
            <w:r>
              <w:br/>
            </w:r>
          </w:p>
          <w:p w14:paraId="0D08129F" w14:textId="77777777" w:rsidR="00BE3927" w:rsidRDefault="00B7660F">
            <w:pPr>
              <w:pStyle w:val="SCCLsocPartyRole"/>
            </w:pPr>
            <w:r>
              <w:t>Intimé</w:t>
            </w:r>
          </w:p>
        </w:tc>
        <w:tc>
          <w:tcPr>
            <w:tcW w:w="377" w:type="pct"/>
          </w:tcPr>
          <w:p w14:paraId="0D0812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5" w:type="pct"/>
          </w:tcPr>
          <w:p w14:paraId="0D0812A1" w14:textId="77777777" w:rsidR="00BE3927" w:rsidRPr="00B7660F" w:rsidRDefault="00B7660F">
            <w:pPr>
              <w:pStyle w:val="SCCLsocPrefix"/>
              <w:rPr>
                <w:lang w:val="en-US"/>
              </w:rPr>
            </w:pPr>
            <w:r w:rsidRPr="00B7660F">
              <w:rPr>
                <w:lang w:val="en-US"/>
              </w:rPr>
              <w:t>BETWEEN:</w:t>
            </w:r>
            <w:r w:rsidRPr="00B7660F">
              <w:rPr>
                <w:lang w:val="en-US"/>
              </w:rPr>
              <w:br/>
            </w:r>
          </w:p>
          <w:p w14:paraId="0D0812A2" w14:textId="77777777" w:rsidR="00B7660F" w:rsidRDefault="00B7660F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Attorney General of Quebec and</w:t>
            </w:r>
          </w:p>
          <w:p w14:paraId="0D0812A3" w14:textId="77777777" w:rsidR="00BE3927" w:rsidRPr="00B7660F" w:rsidRDefault="00B7660F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Her Majesty the Queen</w:t>
            </w:r>
            <w:r w:rsidRPr="00B7660F">
              <w:rPr>
                <w:lang w:val="en-US"/>
              </w:rPr>
              <w:br/>
            </w:r>
          </w:p>
          <w:p w14:paraId="0D0812A4" w14:textId="77777777" w:rsidR="00BE3927" w:rsidRPr="00B7660F" w:rsidRDefault="00B7660F">
            <w:pPr>
              <w:pStyle w:val="SCCLsocPartyRole"/>
              <w:rPr>
                <w:lang w:val="en-US"/>
              </w:rPr>
            </w:pPr>
            <w:r w:rsidRPr="00B7660F">
              <w:rPr>
                <w:lang w:val="en-US"/>
              </w:rPr>
              <w:t>Applicants</w:t>
            </w:r>
            <w:r w:rsidRPr="00B7660F">
              <w:rPr>
                <w:lang w:val="en-US"/>
              </w:rPr>
              <w:br/>
            </w:r>
          </w:p>
          <w:p w14:paraId="0D0812A5" w14:textId="77777777" w:rsidR="00BE3927" w:rsidRPr="00B7660F" w:rsidRDefault="00B7660F">
            <w:pPr>
              <w:pStyle w:val="SCCLsocVersus"/>
              <w:rPr>
                <w:lang w:val="en-US"/>
              </w:rPr>
            </w:pPr>
            <w:r w:rsidRPr="00B7660F">
              <w:rPr>
                <w:lang w:val="en-US"/>
              </w:rPr>
              <w:t>- and -</w:t>
            </w:r>
            <w:r w:rsidRPr="00B7660F">
              <w:rPr>
                <w:lang w:val="en-US"/>
              </w:rPr>
              <w:br/>
            </w:r>
          </w:p>
          <w:p w14:paraId="0D0812A6" w14:textId="77777777" w:rsidR="00BE3927" w:rsidRPr="00B7660F" w:rsidRDefault="00B7660F">
            <w:pPr>
              <w:pStyle w:val="SCCLsocParty"/>
              <w:rPr>
                <w:lang w:val="en-US"/>
              </w:rPr>
            </w:pPr>
            <w:r w:rsidRPr="00B7660F">
              <w:rPr>
                <w:lang w:val="en-US"/>
              </w:rPr>
              <w:t>Alexandre Bissonnette</w:t>
            </w:r>
            <w:r w:rsidRPr="00B7660F">
              <w:rPr>
                <w:lang w:val="en-US"/>
              </w:rPr>
              <w:br/>
            </w:r>
          </w:p>
          <w:p w14:paraId="0D0812A7" w14:textId="77777777" w:rsidR="00BE3927" w:rsidRPr="00B7660F" w:rsidRDefault="00B7660F">
            <w:pPr>
              <w:pStyle w:val="SCCLsocPartyRole"/>
              <w:rPr>
                <w:lang w:val="en-US"/>
              </w:rPr>
            </w:pPr>
            <w:r w:rsidRPr="00B7660F">
              <w:rPr>
                <w:lang w:val="en-US"/>
              </w:rPr>
              <w:t>Respondent</w:t>
            </w:r>
          </w:p>
        </w:tc>
      </w:tr>
      <w:tr w:rsidR="00824412" w:rsidRPr="00B7660F" w14:paraId="0D0812AC" w14:textId="77777777" w:rsidTr="0047399C">
        <w:tc>
          <w:tcPr>
            <w:tcW w:w="2248" w:type="pct"/>
            <w:tcMar>
              <w:top w:w="0" w:type="dxa"/>
              <w:bottom w:w="0" w:type="dxa"/>
            </w:tcMar>
          </w:tcPr>
          <w:p w14:paraId="0D0812A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14:paraId="0D0812A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0D0812A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77B3" w14:paraId="0D0812CE" w14:textId="77777777" w:rsidTr="0047399C">
        <w:tc>
          <w:tcPr>
            <w:tcW w:w="2248" w:type="pct"/>
          </w:tcPr>
          <w:p w14:paraId="0D0812A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D0812AE" w14:textId="77777777" w:rsidR="0027081E" w:rsidRPr="001E26DB" w:rsidRDefault="0027081E" w:rsidP="0027081E">
            <w:pPr>
              <w:jc w:val="center"/>
            </w:pPr>
          </w:p>
          <w:p w14:paraId="0D0812AF" w14:textId="1FCCEE4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200-10-003630-196, 2020 QCCA 1585</w:t>
            </w:r>
            <w:r w:rsidRPr="001E26DB">
              <w:t xml:space="preserve">, daté du </w:t>
            </w:r>
            <w:r>
              <w:t>26 novembre 2020</w:t>
            </w:r>
            <w:r w:rsidRPr="001E26DB">
              <w:t xml:space="preserve">, est </w:t>
            </w:r>
            <w:r w:rsidR="00B7660F">
              <w:t>accueillie.</w:t>
            </w:r>
          </w:p>
          <w:p w14:paraId="0D0812B0" w14:textId="77777777" w:rsidR="00622562" w:rsidRDefault="00622562" w:rsidP="0027081E">
            <w:pPr>
              <w:jc w:val="both"/>
            </w:pPr>
          </w:p>
          <w:p w14:paraId="0D0812B1" w14:textId="03F705C3" w:rsidR="00622562" w:rsidRDefault="00F81F17" w:rsidP="00D27D4E">
            <w:pPr>
              <w:jc w:val="both"/>
            </w:pPr>
            <w:r w:rsidRPr="00C245D0">
              <w:rPr>
                <w:bCs/>
              </w:rPr>
              <w:t xml:space="preserve">La demande du Procureur général du Québec </w:t>
            </w:r>
            <w:r>
              <w:rPr>
                <w:bCs/>
              </w:rPr>
              <w:t xml:space="preserve">et de Sa Majesté la Reine </w:t>
            </w:r>
            <w:r w:rsidRPr="00C245D0">
              <w:rPr>
                <w:bCs/>
              </w:rPr>
              <w:t>de déposer</w:t>
            </w:r>
            <w:r>
              <w:rPr>
                <w:bCs/>
              </w:rPr>
              <w:t xml:space="preserve"> chacun un mémoire d’appel est </w:t>
            </w:r>
            <w:proofErr w:type="gramStart"/>
            <w:r>
              <w:rPr>
                <w:bCs/>
              </w:rPr>
              <w:t>accueillie</w:t>
            </w:r>
            <w:proofErr w:type="gramEnd"/>
            <w:r>
              <w:rPr>
                <w:bCs/>
              </w:rPr>
              <w:t>. Le Procureur général du Québec pourra signifier et déposer</w:t>
            </w:r>
            <w:r w:rsidRPr="00C245D0">
              <w:rPr>
                <w:bCs/>
              </w:rPr>
              <w:t xml:space="preserve"> un mémoire d’appel comptant au plus quarante (40) pages relativement aux questions constitutionnelles</w:t>
            </w:r>
            <w:r>
              <w:rPr>
                <w:bCs/>
              </w:rPr>
              <w:t>.</w:t>
            </w:r>
            <w:r w:rsidRPr="00C245D0">
              <w:rPr>
                <w:bCs/>
              </w:rPr>
              <w:t xml:space="preserve"> Sa Majesté la Reine </w:t>
            </w:r>
            <w:r>
              <w:rPr>
                <w:bCs/>
              </w:rPr>
              <w:t>pourra</w:t>
            </w:r>
            <w:r w:rsidRPr="00C245D0">
              <w:rPr>
                <w:bCs/>
              </w:rPr>
              <w:t xml:space="preserve"> signifier et déposer un mémoire </w:t>
            </w:r>
            <w:r>
              <w:rPr>
                <w:bCs/>
              </w:rPr>
              <w:t xml:space="preserve">d’appel </w:t>
            </w:r>
            <w:r w:rsidRPr="00C245D0">
              <w:rPr>
                <w:bCs/>
              </w:rPr>
              <w:t xml:space="preserve">comptant au plus vingt (20) pages à l’égard de la détermination de la période </w:t>
            </w:r>
            <w:r w:rsidRPr="00C245D0">
              <w:rPr>
                <w:bCs/>
              </w:rPr>
              <w:lastRenderedPageBreak/>
              <w:t xml:space="preserve">d’inadmissibilité juste et appropriée à l’endroit de l’intimé. </w:t>
            </w:r>
            <w:r>
              <w:rPr>
                <w:bCs/>
              </w:rPr>
              <w:t>L</w:t>
            </w:r>
            <w:r w:rsidRPr="00C245D0">
              <w:rPr>
                <w:bCs/>
              </w:rPr>
              <w:t>’intimé</w:t>
            </w:r>
            <w:r>
              <w:rPr>
                <w:bCs/>
              </w:rPr>
              <w:t xml:space="preserve"> pourra</w:t>
            </w:r>
            <w:r w:rsidRPr="00C245D0">
              <w:rPr>
                <w:bCs/>
              </w:rPr>
              <w:t xml:space="preserve"> signifier et déposer un mémoire comptant au plus vingt (20) pages en réponse au mémoire de Sa Majesté la Reine.</w:t>
            </w:r>
          </w:p>
          <w:p w14:paraId="0D0812B2" w14:textId="77777777" w:rsidR="00B7660F" w:rsidRDefault="00B7660F" w:rsidP="00D27D4E">
            <w:pPr>
              <w:jc w:val="both"/>
            </w:pPr>
          </w:p>
          <w:p w14:paraId="0D0812B3" w14:textId="77777777" w:rsidR="00B7660F" w:rsidRDefault="00B7660F" w:rsidP="00D27D4E">
            <w:pPr>
              <w:jc w:val="both"/>
            </w:pPr>
          </w:p>
          <w:p w14:paraId="0D0812B4" w14:textId="77777777" w:rsidR="00B7660F" w:rsidRPr="001E26DB" w:rsidRDefault="00B7660F" w:rsidP="00D27D4E">
            <w:pPr>
              <w:jc w:val="both"/>
            </w:pPr>
          </w:p>
        </w:tc>
        <w:tc>
          <w:tcPr>
            <w:tcW w:w="377" w:type="pct"/>
          </w:tcPr>
          <w:p w14:paraId="0D0812B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0D0812B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D0812B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D0812CB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7660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7660F">
              <w:rPr>
                <w:lang w:val="en-US"/>
              </w:rPr>
              <w:t>200-10-003630-196, 2020 QCCA 1585</w:t>
            </w:r>
            <w:r w:rsidRPr="001E26DB">
              <w:rPr>
                <w:lang w:val="en-CA"/>
              </w:rPr>
              <w:t xml:space="preserve">, dated </w:t>
            </w:r>
            <w:r w:rsidRPr="00B7660F">
              <w:rPr>
                <w:lang w:val="en-US"/>
              </w:rPr>
              <w:t>November 26, 2020</w:t>
            </w:r>
            <w:r w:rsidR="00B7660F">
              <w:rPr>
                <w:lang w:val="en-CA"/>
              </w:rPr>
              <w:t xml:space="preserve"> is granted.</w:t>
            </w:r>
          </w:p>
          <w:p w14:paraId="0D0812C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EB5E2F" w14:textId="0A37CBD6" w:rsidR="00513054" w:rsidRPr="00513054" w:rsidRDefault="00513054" w:rsidP="005E00FD">
            <w:pPr>
              <w:jc w:val="both"/>
              <w:rPr>
                <w:bCs/>
                <w:sz w:val="22"/>
                <w:lang w:val="en-CA"/>
              </w:rPr>
            </w:pPr>
            <w:r w:rsidRPr="00513054">
              <w:rPr>
                <w:bCs/>
                <w:lang w:val="en-CA"/>
              </w:rPr>
              <w:t xml:space="preserve">The request of the Attorney General of Quebec and Her Majesty the Queen to each file a factum is granted. The Attorney General of Quebec may serve and file a factum not to exceed forty (40) pages in length on the constitutional questions. Her Majesty the Queen may serve and file a factum not to exceed twenty (20) pages in length on the determination of a just and appropriate ineligibility period for the respondent. </w:t>
            </w:r>
            <w:bookmarkStart w:id="1" w:name="_GoBack"/>
            <w:bookmarkEnd w:id="1"/>
            <w:r w:rsidRPr="00513054">
              <w:rPr>
                <w:bCs/>
                <w:lang w:val="en-CA"/>
              </w:rPr>
              <w:t xml:space="preserve">The respondent may serve and file a factum not to </w:t>
            </w:r>
            <w:r w:rsidRPr="00513054">
              <w:rPr>
                <w:bCs/>
                <w:lang w:val="en-CA"/>
              </w:rPr>
              <w:lastRenderedPageBreak/>
              <w:t>exceed twenty (20) pages in length in response to the factum of Her Majesty the Queen.</w:t>
            </w:r>
          </w:p>
          <w:p w14:paraId="2B3909D9" w14:textId="77777777" w:rsidR="00513054" w:rsidRPr="00513054" w:rsidRDefault="00513054" w:rsidP="006C1359">
            <w:pPr>
              <w:jc w:val="both"/>
              <w:rPr>
                <w:lang w:val="en-CA"/>
              </w:rPr>
            </w:pPr>
          </w:p>
          <w:p w14:paraId="463B8972" w14:textId="77777777" w:rsidR="00513054" w:rsidRDefault="00513054" w:rsidP="006C1359">
            <w:pPr>
              <w:jc w:val="both"/>
              <w:rPr>
                <w:lang w:val="en-US"/>
              </w:rPr>
            </w:pPr>
          </w:p>
          <w:p w14:paraId="0D0812CD" w14:textId="6C62916B" w:rsidR="0047399C" w:rsidRPr="0047399C" w:rsidRDefault="0047399C" w:rsidP="0047399C">
            <w:pPr>
              <w:jc w:val="both"/>
              <w:rPr>
                <w:lang w:val="en-US"/>
              </w:rPr>
            </w:pPr>
          </w:p>
        </w:tc>
      </w:tr>
    </w:tbl>
    <w:p w14:paraId="0D0812CF" w14:textId="77777777" w:rsidR="009F436C" w:rsidRPr="002C29B6" w:rsidRDefault="009F436C" w:rsidP="00382FEC">
      <w:pPr>
        <w:rPr>
          <w:lang w:val="en-US"/>
        </w:rPr>
      </w:pPr>
    </w:p>
    <w:p w14:paraId="0D0812D0" w14:textId="77777777" w:rsidR="009F436C" w:rsidRPr="002C29B6" w:rsidRDefault="009F436C" w:rsidP="00417FB7">
      <w:pPr>
        <w:jc w:val="center"/>
        <w:rPr>
          <w:lang w:val="en-US"/>
        </w:rPr>
      </w:pPr>
    </w:p>
    <w:p w14:paraId="0D0812D1" w14:textId="77777777" w:rsidR="009F436C" w:rsidRPr="002C29B6" w:rsidRDefault="009F436C" w:rsidP="00417FB7">
      <w:pPr>
        <w:jc w:val="center"/>
        <w:rPr>
          <w:lang w:val="en-US"/>
        </w:rPr>
      </w:pPr>
    </w:p>
    <w:p w14:paraId="0D0812D2" w14:textId="77777777" w:rsidR="00655333" w:rsidRPr="00B7660F" w:rsidRDefault="00655333" w:rsidP="00655333">
      <w:pPr>
        <w:jc w:val="center"/>
        <w:rPr>
          <w:lang w:val="en-US"/>
        </w:rPr>
      </w:pPr>
      <w:r w:rsidRPr="00B7660F">
        <w:rPr>
          <w:lang w:val="en-US"/>
        </w:rPr>
        <w:t>J.C.C.</w:t>
      </w:r>
    </w:p>
    <w:p w14:paraId="0D0812D3" w14:textId="77777777" w:rsidR="00655333" w:rsidRPr="00B7660F" w:rsidRDefault="00655333" w:rsidP="00655333">
      <w:pPr>
        <w:jc w:val="center"/>
        <w:rPr>
          <w:lang w:val="en-US"/>
        </w:rPr>
      </w:pPr>
      <w:r w:rsidRPr="00B7660F">
        <w:rPr>
          <w:lang w:val="en-US"/>
        </w:rPr>
        <w:t>C.J.C.</w:t>
      </w:r>
    </w:p>
    <w:p w14:paraId="0D0812D4" w14:textId="77777777" w:rsidR="00655333" w:rsidRPr="00B7660F" w:rsidRDefault="00655333" w:rsidP="00655333">
      <w:pPr>
        <w:jc w:val="center"/>
        <w:rPr>
          <w:lang w:val="en-US"/>
        </w:rPr>
      </w:pPr>
    </w:p>
    <w:sectPr w:rsidR="00655333" w:rsidRPr="00B7660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12D7" w14:textId="77777777" w:rsidR="00D27D4E" w:rsidRDefault="00D27D4E">
      <w:r>
        <w:separator/>
      </w:r>
    </w:p>
  </w:endnote>
  <w:endnote w:type="continuationSeparator" w:id="0">
    <w:p w14:paraId="0D0812D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812D5" w14:textId="77777777" w:rsidR="00D27D4E" w:rsidRDefault="00D27D4E">
      <w:r>
        <w:separator/>
      </w:r>
    </w:p>
  </w:footnote>
  <w:footnote w:type="continuationSeparator" w:id="0">
    <w:p w14:paraId="0D0812D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12D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477B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0812DA" w14:textId="77777777" w:rsidR="00401B64" w:rsidRDefault="00401B64" w:rsidP="00401B64">
    <w:pPr>
      <w:rPr>
        <w:szCs w:val="24"/>
      </w:rPr>
    </w:pPr>
  </w:p>
  <w:p w14:paraId="0D0812DB" w14:textId="77777777" w:rsidR="00401B64" w:rsidRDefault="00401B64" w:rsidP="00401B64">
    <w:pPr>
      <w:rPr>
        <w:szCs w:val="24"/>
      </w:rPr>
    </w:pPr>
  </w:p>
  <w:p w14:paraId="0D0812D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39544</w:t>
    </w:r>
    <w:r w:rsidR="00401B64">
      <w:rPr>
        <w:szCs w:val="24"/>
      </w:rPr>
      <w:t>     </w:t>
    </w:r>
  </w:p>
  <w:p w14:paraId="0D0812D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D0812DE" w14:textId="77777777" w:rsidR="000452C9" w:rsidRDefault="000452C9" w:rsidP="000452C9"/>
      <w:p w14:paraId="0D0812DF" w14:textId="77777777" w:rsidR="000452C9" w:rsidRPr="001E26DB" w:rsidRDefault="000452C9" w:rsidP="000452C9"/>
      <w:p w14:paraId="0D0812E0" w14:textId="77777777" w:rsidR="000452C9" w:rsidRPr="001E26DB" w:rsidRDefault="000452C9" w:rsidP="000452C9"/>
      <w:p w14:paraId="0D0812E1" w14:textId="77777777" w:rsidR="000452C9" w:rsidRDefault="000452C9" w:rsidP="000452C9"/>
      <w:p w14:paraId="0D0812E2" w14:textId="77777777" w:rsidR="000452C9" w:rsidRDefault="000452C9" w:rsidP="000452C9"/>
      <w:p w14:paraId="0D0812E3" w14:textId="77777777" w:rsidR="000452C9" w:rsidRDefault="000452C9" w:rsidP="000452C9"/>
      <w:p w14:paraId="0D0812E4" w14:textId="77777777" w:rsidR="000452C9" w:rsidRDefault="000452C9" w:rsidP="000452C9"/>
      <w:p w14:paraId="0D0812E5" w14:textId="77777777" w:rsidR="000452C9" w:rsidRPr="001E26DB" w:rsidRDefault="000452C9" w:rsidP="000452C9"/>
      <w:p w14:paraId="0D0812E6" w14:textId="77777777" w:rsidR="000452C9" w:rsidRPr="001E26DB" w:rsidRDefault="000452C9" w:rsidP="000452C9"/>
      <w:p w14:paraId="0D0812E7" w14:textId="77777777" w:rsidR="000452C9" w:rsidRDefault="000452C9" w:rsidP="000452C9">
        <w:pPr>
          <w:pStyle w:val="Header"/>
        </w:pPr>
      </w:p>
      <w:p w14:paraId="0D0812E8" w14:textId="77777777" w:rsidR="001D6D96" w:rsidRPr="000452C9" w:rsidRDefault="003477B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42EF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4FE2"/>
    <w:rsid w:val="0031097F"/>
    <w:rsid w:val="0031165C"/>
    <w:rsid w:val="00311ACE"/>
    <w:rsid w:val="003174AD"/>
    <w:rsid w:val="003477B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399C"/>
    <w:rsid w:val="00474535"/>
    <w:rsid w:val="004943CF"/>
    <w:rsid w:val="004956DA"/>
    <w:rsid w:val="004F63BA"/>
    <w:rsid w:val="00504B7F"/>
    <w:rsid w:val="00513054"/>
    <w:rsid w:val="00524C94"/>
    <w:rsid w:val="00563E2C"/>
    <w:rsid w:val="005873F3"/>
    <w:rsid w:val="00587869"/>
    <w:rsid w:val="005918AD"/>
    <w:rsid w:val="005B69C9"/>
    <w:rsid w:val="005E00FD"/>
    <w:rsid w:val="00614908"/>
    <w:rsid w:val="00622562"/>
    <w:rsid w:val="0062554E"/>
    <w:rsid w:val="0064672C"/>
    <w:rsid w:val="006475C8"/>
    <w:rsid w:val="00650109"/>
    <w:rsid w:val="00655333"/>
    <w:rsid w:val="006777F7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327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660F"/>
    <w:rsid w:val="00B81CED"/>
    <w:rsid w:val="00BA7D71"/>
    <w:rsid w:val="00BD2A96"/>
    <w:rsid w:val="00BE3927"/>
    <w:rsid w:val="00BF682C"/>
    <w:rsid w:val="00BF7644"/>
    <w:rsid w:val="00C03E8E"/>
    <w:rsid w:val="00C245D0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1F1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D081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B363C-37F0-4DBE-9E3D-EDFB80BC0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AA505-B2F6-4BD5-84CC-EED21799E2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3FE4AFB-D15A-46A7-B02E-AE1562491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2021-05-25T13:04:00Z</dcterms:created>
  <dcterms:modified xsi:type="dcterms:W3CDTF">2021-05-25T13:10:00Z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