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BBA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39597</w:t>
      </w:r>
      <w:r w:rsidR="0016666F" w:rsidRPr="006E7BAE">
        <w:t>     </w:t>
      </w:r>
    </w:p>
    <w:p w14:paraId="711DBBA8" w14:textId="77777777" w:rsidR="009F436C" w:rsidRPr="006E7BAE" w:rsidRDefault="009F436C" w:rsidP="00382FEC"/>
    <w:p w14:paraId="711DBB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1DBBAD" w14:textId="77777777" w:rsidTr="00C173B0">
        <w:tc>
          <w:tcPr>
            <w:tcW w:w="2269" w:type="pct"/>
          </w:tcPr>
          <w:p w14:paraId="711DBBAA" w14:textId="77777777" w:rsidR="00417FB7" w:rsidRPr="006E7BAE" w:rsidRDefault="00543EDD" w:rsidP="004119C8">
            <w:r>
              <w:t>J</w:t>
            </w:r>
            <w:r w:rsidR="004119C8">
              <w:t>uly 8</w:t>
            </w:r>
            <w:r>
              <w:t>, 2021</w:t>
            </w:r>
          </w:p>
        </w:tc>
        <w:tc>
          <w:tcPr>
            <w:tcW w:w="381" w:type="pct"/>
          </w:tcPr>
          <w:p w14:paraId="711DBBAB" w14:textId="77777777" w:rsidR="00417FB7" w:rsidRPr="006E7BAE" w:rsidRDefault="00417FB7" w:rsidP="00382FEC"/>
        </w:tc>
        <w:tc>
          <w:tcPr>
            <w:tcW w:w="2350" w:type="pct"/>
          </w:tcPr>
          <w:p w14:paraId="711DBBAC" w14:textId="77777777" w:rsidR="00417FB7" w:rsidRPr="00D83B8C" w:rsidRDefault="00543EDD" w:rsidP="002B0626">
            <w:pPr>
              <w:rPr>
                <w:lang w:val="en-US"/>
              </w:rPr>
            </w:pPr>
            <w:r>
              <w:t xml:space="preserve">Le </w:t>
            </w:r>
            <w:r w:rsidR="004119C8">
              <w:t>8 jui</w:t>
            </w:r>
            <w:r w:rsidR="002B0626">
              <w:t>llet</w:t>
            </w:r>
            <w:r w:rsidR="004119C8">
              <w:t xml:space="preserve"> </w:t>
            </w:r>
            <w:r>
              <w:t>2021</w:t>
            </w:r>
          </w:p>
        </w:tc>
      </w:tr>
      <w:tr w:rsidR="00E12A51" w:rsidRPr="006E7BAE" w14:paraId="711DBB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DBB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DBB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DBB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1DBBCC" w14:textId="77777777" w:rsidTr="00C173B0">
        <w:tc>
          <w:tcPr>
            <w:tcW w:w="2269" w:type="pct"/>
          </w:tcPr>
          <w:p w14:paraId="711DBBB2" w14:textId="77777777" w:rsidR="00D71F19" w:rsidRDefault="002B0626">
            <w:pPr>
              <w:pStyle w:val="SCCLsocPrefix"/>
            </w:pPr>
            <w:r>
              <w:t>BETWEEN:</w:t>
            </w:r>
            <w:r>
              <w:br/>
            </w:r>
          </w:p>
          <w:p w14:paraId="711DBBB3" w14:textId="77777777" w:rsidR="00D71F19" w:rsidRDefault="002B0626">
            <w:pPr>
              <w:pStyle w:val="SCCLsocParty"/>
            </w:pPr>
            <w:r>
              <w:t>Susan Riddell Rose</w:t>
            </w:r>
            <w:r>
              <w:br/>
            </w:r>
          </w:p>
          <w:p w14:paraId="711DBBB4" w14:textId="77777777" w:rsidR="00D71F19" w:rsidRDefault="002B0626">
            <w:pPr>
              <w:pStyle w:val="SCCLsocPartyRole"/>
            </w:pPr>
            <w:r>
              <w:t>Applicant</w:t>
            </w:r>
            <w:r>
              <w:br/>
            </w:r>
          </w:p>
          <w:p w14:paraId="711DBBB5" w14:textId="77777777" w:rsidR="00D71F19" w:rsidRDefault="002B0626">
            <w:pPr>
              <w:pStyle w:val="SCCLsocVersus"/>
            </w:pPr>
            <w:r>
              <w:t>- and -</w:t>
            </w:r>
            <w:r>
              <w:br/>
            </w:r>
          </w:p>
          <w:p w14:paraId="711DBBB6" w14:textId="6FB41FBC" w:rsidR="00D71F19" w:rsidRDefault="002B0626">
            <w:pPr>
              <w:pStyle w:val="SCCLsocParty"/>
            </w:pPr>
            <w:r>
              <w:t xml:space="preserve">PricewaterhouseCoopers Inc., LIT, in its capacity as the </w:t>
            </w:r>
            <w:r w:rsidR="002E7114">
              <w:t>t</w:t>
            </w:r>
            <w:r>
              <w:t xml:space="preserve">rustee in </w:t>
            </w:r>
            <w:r w:rsidR="002E7114">
              <w:t>b</w:t>
            </w:r>
            <w:r>
              <w:t>ankruptcy of Sequoia Resources Corp. and not in its personal capacity</w:t>
            </w:r>
            <w:r>
              <w:br/>
            </w:r>
          </w:p>
          <w:p w14:paraId="711DBBB7" w14:textId="6C326083" w:rsidR="00D71F19" w:rsidRDefault="002B0626">
            <w:pPr>
              <w:pStyle w:val="SCCLsocPartyRole"/>
            </w:pPr>
            <w:r>
              <w:t>Respondent</w:t>
            </w:r>
            <w:r>
              <w:br/>
            </w:r>
          </w:p>
          <w:p w14:paraId="711DBBB8" w14:textId="77777777" w:rsidR="00D71F19" w:rsidRDefault="002B0626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11DBBB9" w14:textId="77777777" w:rsidR="00D71F19" w:rsidRDefault="002B0626">
            <w:pPr>
              <w:pStyle w:val="SCCLsocParty"/>
            </w:pPr>
            <w:r>
              <w:t>Perpetual Energy Inc., Perpetual Operating Trust and Perpetual Operating Corp.</w:t>
            </w:r>
            <w:r>
              <w:br/>
            </w:r>
          </w:p>
          <w:p w14:paraId="711DBBBA" w14:textId="77777777" w:rsidR="00D71F19" w:rsidRDefault="002B0626">
            <w:pPr>
              <w:pStyle w:val="SCCLsocPartyRole"/>
            </w:pPr>
            <w:r>
              <w:t>Applicants</w:t>
            </w:r>
            <w:r>
              <w:br/>
            </w:r>
          </w:p>
          <w:p w14:paraId="711DBBBB" w14:textId="77777777" w:rsidR="00D71F19" w:rsidRDefault="002B0626">
            <w:pPr>
              <w:pStyle w:val="SCCLsocVersus"/>
            </w:pPr>
            <w:r>
              <w:t>- and -</w:t>
            </w:r>
            <w:r>
              <w:br/>
            </w:r>
          </w:p>
          <w:p w14:paraId="711DBBBC" w14:textId="77777777" w:rsidR="00D71F19" w:rsidRDefault="002B0626">
            <w:pPr>
              <w:pStyle w:val="SCCLsocParty"/>
            </w:pPr>
            <w:r>
              <w:t>PricewaterhouseCoopers Inc., LIT, in its capacity as the Trustee in Bankruptcy of Sequoia Resources Corp. and not in its personal capacity</w:t>
            </w:r>
            <w:r>
              <w:br/>
            </w:r>
          </w:p>
          <w:p w14:paraId="711DBBBD" w14:textId="63AD6D1C" w:rsidR="00D71F19" w:rsidRDefault="002B06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1DBBBE" w14:textId="77777777" w:rsidR="00824412" w:rsidRPr="006E7BAE" w:rsidRDefault="00824412" w:rsidP="00375294"/>
        </w:tc>
        <w:tc>
          <w:tcPr>
            <w:tcW w:w="2350" w:type="pct"/>
          </w:tcPr>
          <w:p w14:paraId="711DBBBF" w14:textId="77777777" w:rsidR="00D71F19" w:rsidRPr="004119C8" w:rsidRDefault="002B0626">
            <w:pPr>
              <w:pStyle w:val="SCCLsocPrefix"/>
              <w:rPr>
                <w:lang w:val="fr-CA"/>
              </w:rPr>
            </w:pPr>
            <w:r w:rsidRPr="004119C8">
              <w:rPr>
                <w:lang w:val="fr-CA"/>
              </w:rPr>
              <w:t>ENTRE :</w:t>
            </w:r>
            <w:r w:rsidRPr="004119C8">
              <w:rPr>
                <w:lang w:val="fr-CA"/>
              </w:rPr>
              <w:br/>
            </w:r>
          </w:p>
          <w:p w14:paraId="711DBBC0" w14:textId="77777777" w:rsidR="00D71F19" w:rsidRPr="004119C8" w:rsidRDefault="002B0626">
            <w:pPr>
              <w:pStyle w:val="SCCLsocParty"/>
              <w:rPr>
                <w:lang w:val="fr-CA"/>
              </w:rPr>
            </w:pPr>
            <w:r w:rsidRPr="004119C8">
              <w:rPr>
                <w:lang w:val="fr-CA"/>
              </w:rPr>
              <w:t>Susan Riddell Rose</w:t>
            </w:r>
            <w:r w:rsidRPr="004119C8">
              <w:rPr>
                <w:lang w:val="fr-CA"/>
              </w:rPr>
              <w:br/>
            </w:r>
          </w:p>
          <w:p w14:paraId="711DBBC1" w14:textId="77777777" w:rsidR="00D71F19" w:rsidRPr="004119C8" w:rsidRDefault="004119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B0626" w:rsidRPr="004119C8">
              <w:rPr>
                <w:lang w:val="fr-CA"/>
              </w:rPr>
              <w:br/>
            </w:r>
          </w:p>
          <w:p w14:paraId="711DBBC2" w14:textId="77777777" w:rsidR="00D71F19" w:rsidRPr="004119C8" w:rsidRDefault="002B0626">
            <w:pPr>
              <w:pStyle w:val="SCCLsocVersus"/>
              <w:rPr>
                <w:lang w:val="fr-CA"/>
              </w:rPr>
            </w:pPr>
            <w:r w:rsidRPr="004119C8">
              <w:rPr>
                <w:lang w:val="fr-CA"/>
              </w:rPr>
              <w:t>- et -</w:t>
            </w:r>
            <w:r w:rsidRPr="004119C8">
              <w:rPr>
                <w:lang w:val="fr-CA"/>
              </w:rPr>
              <w:br/>
            </w:r>
          </w:p>
          <w:p w14:paraId="711DBBC3" w14:textId="6D44AF61" w:rsidR="00D71F19" w:rsidRDefault="002B0626">
            <w:pPr>
              <w:pStyle w:val="SCCLsocParty"/>
            </w:pPr>
            <w:r>
              <w:t xml:space="preserve">PricewaterhouseCoopers Inc., </w:t>
            </w:r>
            <w:r w:rsidR="008D5CA4">
              <w:t>SAI</w:t>
            </w:r>
            <w:r>
              <w:t xml:space="preserve">, </w:t>
            </w:r>
            <w:r w:rsidR="008D5CA4">
              <w:t>en sa qualité</w:t>
            </w:r>
            <w:r>
              <w:t xml:space="preserve"> </w:t>
            </w:r>
            <w:r w:rsidR="008D5CA4">
              <w:t>de</w:t>
            </w:r>
            <w:r>
              <w:t xml:space="preserve"> </w:t>
            </w:r>
            <w:r w:rsidR="008D5CA4">
              <w:t>syndic</w:t>
            </w:r>
            <w:r>
              <w:t xml:space="preserve"> </w:t>
            </w:r>
            <w:r w:rsidR="004C0B40">
              <w:t>de</w:t>
            </w:r>
            <w:r w:rsidR="008D5CA4">
              <w:t xml:space="preserve"> faillite</w:t>
            </w:r>
            <w:r>
              <w:t xml:space="preserve"> </w:t>
            </w:r>
            <w:r w:rsidR="008D5CA4">
              <w:t>de</w:t>
            </w:r>
            <w:r>
              <w:t xml:space="preserve"> Sequoia Resources Corp. </w:t>
            </w:r>
            <w:r w:rsidR="008D5CA4">
              <w:t>et non à titre personnel</w:t>
            </w:r>
            <w:r>
              <w:br/>
            </w:r>
          </w:p>
          <w:p w14:paraId="32C67E6B" w14:textId="77777777" w:rsidR="008D5CA4" w:rsidRPr="008D5CA4" w:rsidRDefault="008D5CA4" w:rsidP="00722411"/>
          <w:p w14:paraId="711DBBC4" w14:textId="7F090EE0" w:rsidR="00D71F19" w:rsidRPr="004119C8" w:rsidRDefault="002B06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4119C8">
              <w:rPr>
                <w:lang w:val="fr-CA"/>
              </w:rPr>
              <w:br/>
            </w:r>
          </w:p>
          <w:p w14:paraId="711DBBC5" w14:textId="77777777" w:rsidR="00D71F19" w:rsidRPr="004119C8" w:rsidRDefault="002B0626">
            <w:pPr>
              <w:pStyle w:val="SCCLsocSubfileSeparator"/>
              <w:rPr>
                <w:lang w:val="fr-CA"/>
              </w:rPr>
            </w:pPr>
            <w:r w:rsidRPr="004119C8">
              <w:rPr>
                <w:lang w:val="fr-CA"/>
              </w:rPr>
              <w:t>ET ENTRE :</w:t>
            </w:r>
            <w:r w:rsidRPr="004119C8">
              <w:rPr>
                <w:lang w:val="fr-CA"/>
              </w:rPr>
              <w:br/>
            </w:r>
          </w:p>
          <w:p w14:paraId="711DBBC6" w14:textId="77777777" w:rsidR="00D71F19" w:rsidRDefault="002B0626">
            <w:pPr>
              <w:pStyle w:val="SCCLsocParty"/>
            </w:pPr>
            <w:r>
              <w:t>Perpetual Energy Inc., Perpetual Operating Trust et Perpetual Operating Corp.</w:t>
            </w:r>
            <w:r>
              <w:br/>
            </w:r>
          </w:p>
          <w:p w14:paraId="711DBBC7" w14:textId="77777777" w:rsidR="00D71F19" w:rsidRDefault="002B0626">
            <w:pPr>
              <w:pStyle w:val="SCCLsocPartyRole"/>
            </w:pPr>
            <w:r>
              <w:t>Demanderesses</w:t>
            </w:r>
            <w:r>
              <w:br/>
            </w:r>
          </w:p>
          <w:p w14:paraId="711DBBC8" w14:textId="77777777" w:rsidR="00D71F19" w:rsidRDefault="002B0626">
            <w:pPr>
              <w:pStyle w:val="SCCLsocVersus"/>
            </w:pPr>
            <w:r>
              <w:t>- et -</w:t>
            </w:r>
            <w:r>
              <w:br/>
            </w:r>
          </w:p>
          <w:p w14:paraId="250F10C2" w14:textId="198CA448" w:rsidR="00436EC1" w:rsidRDefault="00436EC1">
            <w:pPr>
              <w:pStyle w:val="SCCLsocParty"/>
            </w:pPr>
            <w:r w:rsidRPr="00436EC1">
              <w:t>PricewaterhouseCoopers Inc., SAI, en sa qualité de syndic de faillite de Sequoia Resources Corp. et non à titre personnel</w:t>
            </w:r>
          </w:p>
          <w:p w14:paraId="711DBBC9" w14:textId="4E02AC0E" w:rsidR="00D71F19" w:rsidRDefault="002B0626">
            <w:pPr>
              <w:pStyle w:val="SCCLsocParty"/>
            </w:pPr>
            <w:r>
              <w:br/>
            </w:r>
          </w:p>
          <w:p w14:paraId="711DBBCA" w14:textId="43873034" w:rsidR="00D71F19" w:rsidRDefault="002B0626">
            <w:pPr>
              <w:pStyle w:val="SCCLsocPartyRole"/>
            </w:pPr>
            <w:r>
              <w:t>Intimée</w:t>
            </w:r>
          </w:p>
          <w:p w14:paraId="711DBBCB" w14:textId="77777777" w:rsidR="002B0626" w:rsidRPr="002B0626" w:rsidRDefault="002B0626" w:rsidP="002B0626"/>
        </w:tc>
      </w:tr>
      <w:tr w:rsidR="00824412" w:rsidRPr="006E7BAE" w14:paraId="711DBB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DBBC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DBBC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DBBC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19C8" w14:paraId="711DBBDD" w14:textId="77777777" w:rsidTr="00C173B0">
        <w:tc>
          <w:tcPr>
            <w:tcW w:w="2269" w:type="pct"/>
          </w:tcPr>
          <w:p w14:paraId="711DBBD1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711DBBD2" w14:textId="77777777" w:rsidR="00824412" w:rsidRPr="006E7BAE" w:rsidRDefault="00824412" w:rsidP="00417FB7">
            <w:pPr>
              <w:jc w:val="center"/>
            </w:pPr>
          </w:p>
          <w:p w14:paraId="711DBBD3" w14:textId="0FBCF67F" w:rsidR="00824412" w:rsidRDefault="002B0626" w:rsidP="00011960">
            <w:pPr>
              <w:jc w:val="both"/>
            </w:pPr>
            <w:r w:rsidRPr="002B0626">
              <w:t xml:space="preserve">The motion to join two Court of Appeal </w:t>
            </w:r>
            <w:r>
              <w:t>of Alberta</w:t>
            </w:r>
            <w:r w:rsidRPr="002B0626">
              <w:t xml:space="preserve"> files in a single application for leave to appeal is granted.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1901-0255-AC</w:t>
            </w:r>
            <w:r w:rsidR="00362C2D">
              <w:t xml:space="preserve"> and</w:t>
            </w:r>
            <w:r w:rsidR="00824412">
              <w:t xml:space="preserve"> 1901-0262-AC</w:t>
            </w:r>
            <w:r w:rsidR="00362C2D">
              <w:t xml:space="preserve">, </w:t>
            </w:r>
            <w:r w:rsidR="00824412">
              <w:t>2021 ABCA 16</w:t>
            </w:r>
            <w:r w:rsidR="00824412" w:rsidRPr="006E7BAE">
              <w:t xml:space="preserve">, dated </w:t>
            </w:r>
            <w:r w:rsidR="00824412">
              <w:t>January 25, 2021</w:t>
            </w:r>
            <w:r>
              <w:t>,</w:t>
            </w:r>
            <w:r w:rsidR="00824412" w:rsidRPr="006E7BAE">
              <w:t xml:space="preserve"> </w:t>
            </w:r>
            <w:r>
              <w:t>are dismissed with costs.</w:t>
            </w:r>
            <w:r w:rsidR="00824412" w:rsidRPr="006E7BAE">
              <w:t xml:space="preserve"> </w:t>
            </w:r>
          </w:p>
          <w:p w14:paraId="711DBBD4" w14:textId="77777777" w:rsidR="002B0626" w:rsidRDefault="002B0626" w:rsidP="00011960">
            <w:pPr>
              <w:jc w:val="both"/>
            </w:pPr>
          </w:p>
          <w:p w14:paraId="711DBBD5" w14:textId="77777777" w:rsidR="003F6511" w:rsidRDefault="002B0626" w:rsidP="00011960">
            <w:pPr>
              <w:jc w:val="both"/>
            </w:pPr>
            <w:r w:rsidRPr="002B0626">
              <w:t xml:space="preserve">Justice </w:t>
            </w:r>
            <w:r>
              <w:t>Rowe</w:t>
            </w:r>
            <w:r w:rsidRPr="002B0626">
              <w:t xml:space="preserve"> took no part in the judgment. </w:t>
            </w:r>
          </w:p>
          <w:p w14:paraId="711DBB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1DBB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1DBB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1DBB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1DBBDA" w14:textId="5F492081" w:rsidR="003F6511" w:rsidRDefault="002B0626" w:rsidP="00011960">
            <w:pPr>
              <w:jc w:val="both"/>
              <w:rPr>
                <w:lang w:val="fr-CA"/>
              </w:rPr>
            </w:pPr>
            <w:r w:rsidRPr="002B0626">
              <w:rPr>
                <w:lang w:val="fr-CA"/>
              </w:rPr>
              <w:t xml:space="preserve">La requête pour joindre deux dossiers de la Cour d’appel de l’Alberta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19C8">
              <w:rPr>
                <w:lang w:val="fr-CA"/>
              </w:rPr>
              <w:t>Cour d</w:t>
            </w:r>
            <w:r w:rsidR="00362C2D">
              <w:rPr>
                <w:lang w:val="fr-CA"/>
              </w:rPr>
              <w:t>’</w:t>
            </w:r>
            <w:r w:rsidR="00824412" w:rsidRPr="004119C8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19C8">
              <w:rPr>
                <w:lang w:val="fr-CA"/>
              </w:rPr>
              <w:t>1901-0255-AC</w:t>
            </w:r>
            <w:r>
              <w:rPr>
                <w:lang w:val="fr-CA"/>
              </w:rPr>
              <w:t xml:space="preserve"> et</w:t>
            </w:r>
            <w:r w:rsidR="00824412" w:rsidRPr="004119C8">
              <w:rPr>
                <w:lang w:val="fr-CA"/>
              </w:rPr>
              <w:t xml:space="preserve"> 1901-0262-AC, 2021 ABCA 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19C8">
              <w:rPr>
                <w:lang w:val="fr-CA"/>
              </w:rPr>
              <w:t>25 janvier 2021</w:t>
            </w:r>
            <w:r>
              <w:rPr>
                <w:lang w:val="fr-CA"/>
              </w:rPr>
              <w:t xml:space="preserve">, sont rejetées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711DBBDB" w14:textId="77777777" w:rsidR="002B0626" w:rsidRDefault="002B0626" w:rsidP="00011960">
            <w:pPr>
              <w:jc w:val="both"/>
              <w:rPr>
                <w:lang w:val="fr-CA"/>
              </w:rPr>
            </w:pPr>
          </w:p>
          <w:p w14:paraId="711DBBDC" w14:textId="77777777" w:rsidR="002B0626" w:rsidRPr="006E7BAE" w:rsidRDefault="002B0626" w:rsidP="002B0626">
            <w:pPr>
              <w:jc w:val="both"/>
              <w:rPr>
                <w:lang w:val="fr-CA"/>
              </w:rPr>
            </w:pPr>
            <w:r w:rsidRPr="002B0626">
              <w:rPr>
                <w:lang w:val="fr-CA"/>
              </w:rPr>
              <w:t>L</w:t>
            </w:r>
            <w:r>
              <w:rPr>
                <w:lang w:val="fr-CA"/>
              </w:rPr>
              <w:t>e</w:t>
            </w:r>
            <w:r w:rsidRPr="002B0626">
              <w:rPr>
                <w:lang w:val="fr-CA"/>
              </w:rPr>
              <w:t xml:space="preserve"> juge </w:t>
            </w:r>
            <w:r>
              <w:rPr>
                <w:lang w:val="fr-CA"/>
              </w:rPr>
              <w:t>Rowe</w:t>
            </w:r>
            <w:r w:rsidRPr="002B0626">
              <w:rPr>
                <w:lang w:val="fr-CA"/>
              </w:rPr>
              <w:t xml:space="preserve"> n’a pas participé au jugement.</w:t>
            </w:r>
          </w:p>
        </w:tc>
      </w:tr>
    </w:tbl>
    <w:p w14:paraId="711DBBDE" w14:textId="77777777" w:rsidR="009F436C" w:rsidRPr="00D83B8C" w:rsidRDefault="009F436C" w:rsidP="00382FEC">
      <w:pPr>
        <w:rPr>
          <w:lang w:val="fr-CA"/>
        </w:rPr>
      </w:pPr>
    </w:p>
    <w:p w14:paraId="711DBBDF" w14:textId="77777777" w:rsidR="009F436C" w:rsidRPr="00D83B8C" w:rsidRDefault="009F436C" w:rsidP="00417FB7">
      <w:pPr>
        <w:jc w:val="center"/>
        <w:rPr>
          <w:lang w:val="fr-CA"/>
        </w:rPr>
      </w:pPr>
    </w:p>
    <w:p w14:paraId="711DBBE0" w14:textId="77777777" w:rsidR="009F436C" w:rsidRDefault="009F436C" w:rsidP="00417FB7">
      <w:pPr>
        <w:jc w:val="center"/>
        <w:rPr>
          <w:lang w:val="fr-CA"/>
        </w:rPr>
      </w:pPr>
    </w:p>
    <w:p w14:paraId="711DBBE1" w14:textId="77777777" w:rsidR="002B0626" w:rsidRDefault="002B0626" w:rsidP="00417FB7">
      <w:pPr>
        <w:jc w:val="center"/>
        <w:rPr>
          <w:lang w:val="fr-CA"/>
        </w:rPr>
      </w:pPr>
    </w:p>
    <w:p w14:paraId="711DBBE5" w14:textId="77777777" w:rsidR="002B0626" w:rsidRPr="00D83B8C" w:rsidRDefault="002B0626" w:rsidP="00722411">
      <w:pPr>
        <w:rPr>
          <w:lang w:val="fr-CA"/>
        </w:rPr>
      </w:pPr>
    </w:p>
    <w:p w14:paraId="711DBB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1DBBE7" w14:textId="77777777" w:rsidR="003A37CF" w:rsidRPr="00D83B8C" w:rsidRDefault="003A37CF" w:rsidP="002B06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BBEA" w14:textId="77777777" w:rsidR="00983D48" w:rsidRDefault="00983D48">
      <w:r>
        <w:separator/>
      </w:r>
    </w:p>
  </w:endnote>
  <w:endnote w:type="continuationSeparator" w:id="0">
    <w:p w14:paraId="711DBB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BBE8" w14:textId="77777777" w:rsidR="00983D48" w:rsidRDefault="00983D48">
      <w:r>
        <w:separator/>
      </w:r>
    </w:p>
  </w:footnote>
  <w:footnote w:type="continuationSeparator" w:id="0">
    <w:p w14:paraId="711DBB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BB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21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1DBBED" w14:textId="77777777" w:rsidR="008F53F3" w:rsidRDefault="008F53F3" w:rsidP="008F53F3">
    <w:pPr>
      <w:rPr>
        <w:szCs w:val="24"/>
      </w:rPr>
    </w:pPr>
  </w:p>
  <w:p w14:paraId="711DBBEE" w14:textId="77777777" w:rsidR="008F53F3" w:rsidRDefault="008F53F3" w:rsidP="008F53F3">
    <w:pPr>
      <w:rPr>
        <w:szCs w:val="24"/>
      </w:rPr>
    </w:pPr>
  </w:p>
  <w:p w14:paraId="711DBB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39597</w:t>
    </w:r>
    <w:r>
      <w:rPr>
        <w:szCs w:val="24"/>
      </w:rPr>
      <w:t>     </w:t>
    </w:r>
  </w:p>
  <w:p w14:paraId="711DBB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1DBBF1" w14:textId="77777777" w:rsidR="0073151A" w:rsidRDefault="0073151A" w:rsidP="0073151A"/>
      <w:p w14:paraId="711DBBF2" w14:textId="77777777" w:rsidR="0073151A" w:rsidRPr="006E7BAE" w:rsidRDefault="0073151A" w:rsidP="0073151A"/>
      <w:p w14:paraId="711DBBF3" w14:textId="77777777" w:rsidR="0073151A" w:rsidRPr="006E7BAE" w:rsidRDefault="0073151A" w:rsidP="0073151A"/>
      <w:p w14:paraId="711DBBF4" w14:textId="77777777" w:rsidR="0073151A" w:rsidRPr="006E7BAE" w:rsidRDefault="0073151A" w:rsidP="0073151A"/>
      <w:p w14:paraId="711DBBF5" w14:textId="77777777" w:rsidR="0073151A" w:rsidRDefault="0073151A" w:rsidP="0073151A"/>
      <w:p w14:paraId="711DBBF6" w14:textId="77777777" w:rsidR="0073151A" w:rsidRDefault="0073151A" w:rsidP="0073151A"/>
      <w:p w14:paraId="711DBBF7" w14:textId="77777777" w:rsidR="0073151A" w:rsidRDefault="0073151A" w:rsidP="0073151A"/>
      <w:p w14:paraId="711DBBF8" w14:textId="77777777" w:rsidR="0073151A" w:rsidRDefault="0073151A" w:rsidP="0073151A"/>
      <w:p w14:paraId="711DBBF9" w14:textId="77777777" w:rsidR="0073151A" w:rsidRDefault="0073151A" w:rsidP="0073151A"/>
      <w:p w14:paraId="711DBBFA" w14:textId="77777777" w:rsidR="0073151A" w:rsidRPr="006E7BAE" w:rsidRDefault="0073151A" w:rsidP="0073151A"/>
      <w:p w14:paraId="711DBBFB" w14:textId="77777777" w:rsidR="00ED265D" w:rsidRPr="0073151A" w:rsidRDefault="009921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0626"/>
    <w:rsid w:val="002B5FA6"/>
    <w:rsid w:val="002C6423"/>
    <w:rsid w:val="002D2D44"/>
    <w:rsid w:val="002E7114"/>
    <w:rsid w:val="0031097F"/>
    <w:rsid w:val="0031165C"/>
    <w:rsid w:val="00326E5F"/>
    <w:rsid w:val="00335879"/>
    <w:rsid w:val="00356186"/>
    <w:rsid w:val="00362C2D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9C8"/>
    <w:rsid w:val="00414694"/>
    <w:rsid w:val="00417FB7"/>
    <w:rsid w:val="0042783F"/>
    <w:rsid w:val="00436EC1"/>
    <w:rsid w:val="004943CF"/>
    <w:rsid w:val="004956DA"/>
    <w:rsid w:val="004C0B40"/>
    <w:rsid w:val="004D4658"/>
    <w:rsid w:val="00543EDD"/>
    <w:rsid w:val="0055345D"/>
    <w:rsid w:val="00563E2C"/>
    <w:rsid w:val="00587869"/>
    <w:rsid w:val="00612913"/>
    <w:rsid w:val="00614908"/>
    <w:rsid w:val="00650109"/>
    <w:rsid w:val="006C169D"/>
    <w:rsid w:val="006E7BAE"/>
    <w:rsid w:val="00701109"/>
    <w:rsid w:val="00722411"/>
    <w:rsid w:val="0073151A"/>
    <w:rsid w:val="007372EA"/>
    <w:rsid w:val="00777612"/>
    <w:rsid w:val="0079129C"/>
    <w:rsid w:val="007917FE"/>
    <w:rsid w:val="007A54CC"/>
    <w:rsid w:val="007C5DE8"/>
    <w:rsid w:val="007C6D1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5CA4"/>
    <w:rsid w:val="008F376B"/>
    <w:rsid w:val="008F53F3"/>
    <w:rsid w:val="009305BF"/>
    <w:rsid w:val="00951EF6"/>
    <w:rsid w:val="0096638C"/>
    <w:rsid w:val="00971A08"/>
    <w:rsid w:val="00983D48"/>
    <w:rsid w:val="0099214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1F19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1DB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BE50F-9D45-4695-A192-1337BB82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BE458-213F-4616-B985-8FBC721F0C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51D629F-783D-4B4C-BED9-7F98F7B66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2021-07-02T15:22:00Z</dcterms:created>
  <dcterms:modified xsi:type="dcterms:W3CDTF">2021-07-02T15:22:00Z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