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66D3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39718</w:t>
      </w:r>
      <w:r w:rsidR="0016666F" w:rsidRPr="006E7BAE">
        <w:t>     </w:t>
      </w:r>
    </w:p>
    <w:p w14:paraId="12D66D32" w14:textId="77777777" w:rsidR="009F436C" w:rsidRPr="006E7BAE" w:rsidRDefault="009F436C" w:rsidP="00382FEC"/>
    <w:p w14:paraId="12D66D33" w14:textId="77777777" w:rsidR="002568D3" w:rsidRPr="006E7BAE" w:rsidRDefault="002568D3" w:rsidP="00382FEC"/>
    <w:tbl>
      <w:tblPr>
        <w:tblW w:w="503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13"/>
        <w:gridCol w:w="4399"/>
      </w:tblGrid>
      <w:tr w:rsidR="00417FB7" w:rsidRPr="006E7BAE" w14:paraId="12D66D37" w14:textId="77777777" w:rsidTr="00BC2735">
        <w:tc>
          <w:tcPr>
            <w:tcW w:w="2290" w:type="pct"/>
          </w:tcPr>
          <w:p w14:paraId="12D66D34" w14:textId="77777777" w:rsidR="00417FB7" w:rsidRPr="006E7BAE" w:rsidRDefault="00F744F9" w:rsidP="008262A3">
            <w:r>
              <w:t>November 4</w:t>
            </w:r>
            <w:r w:rsidR="00543EDD">
              <w:t>, 2021</w:t>
            </w:r>
          </w:p>
        </w:tc>
        <w:tc>
          <w:tcPr>
            <w:tcW w:w="378" w:type="pct"/>
          </w:tcPr>
          <w:p w14:paraId="12D66D35" w14:textId="77777777" w:rsidR="00417FB7" w:rsidRPr="006E7BAE" w:rsidRDefault="00417FB7" w:rsidP="00382FEC"/>
        </w:tc>
        <w:tc>
          <w:tcPr>
            <w:tcW w:w="2332" w:type="pct"/>
          </w:tcPr>
          <w:p w14:paraId="12D66D36" w14:textId="77777777" w:rsidR="00417FB7" w:rsidRPr="00D83B8C" w:rsidRDefault="00543EDD" w:rsidP="00F744F9">
            <w:pPr>
              <w:rPr>
                <w:lang w:val="en-US"/>
              </w:rPr>
            </w:pPr>
            <w:r>
              <w:t xml:space="preserve">Le </w:t>
            </w:r>
            <w:r w:rsidR="00F744F9">
              <w:t>4 novembre</w:t>
            </w:r>
            <w:r>
              <w:t xml:space="preserve"> 2021</w:t>
            </w:r>
          </w:p>
        </w:tc>
      </w:tr>
      <w:tr w:rsidR="00E12A51" w:rsidRPr="006E7BAE" w14:paraId="12D66D3B" w14:textId="77777777" w:rsidTr="00BC2735">
        <w:tc>
          <w:tcPr>
            <w:tcW w:w="2290" w:type="pct"/>
            <w:tcMar>
              <w:top w:w="0" w:type="dxa"/>
              <w:bottom w:w="0" w:type="dxa"/>
            </w:tcMar>
          </w:tcPr>
          <w:p w14:paraId="12D66D38" w14:textId="77777777" w:rsidR="00C2612E" w:rsidRPr="006E7BAE" w:rsidRDefault="00C2612E" w:rsidP="008262A3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12D66D39" w14:textId="77777777" w:rsidR="00E12A51" w:rsidRPr="006E7BAE" w:rsidRDefault="00E12A51" w:rsidP="00382FEC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12D66D3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2D66D4D" w14:textId="77777777" w:rsidTr="00BC2735">
        <w:tc>
          <w:tcPr>
            <w:tcW w:w="2290" w:type="pct"/>
          </w:tcPr>
          <w:p w14:paraId="12D66D3D" w14:textId="77777777" w:rsidR="00F73FEC" w:rsidRDefault="00BC2735">
            <w:pPr>
              <w:pStyle w:val="SCCLsocPrefix"/>
            </w:pPr>
            <w:r>
              <w:t>BETWEEN:</w:t>
            </w:r>
          </w:p>
          <w:p w14:paraId="1C18E55B" w14:textId="77777777" w:rsidR="00245BCD" w:rsidRPr="00466A5F" w:rsidRDefault="00245BCD" w:rsidP="00466A5F"/>
          <w:p w14:paraId="12D66D3E" w14:textId="77777777" w:rsidR="00F73FEC" w:rsidRDefault="00BC2735">
            <w:pPr>
              <w:pStyle w:val="SCCLsocParty"/>
            </w:pPr>
            <w:r>
              <w:t>Vaclav Jirasek</w:t>
            </w:r>
            <w:r>
              <w:br/>
            </w:r>
          </w:p>
          <w:p w14:paraId="12D66D3F" w14:textId="77777777" w:rsidR="00F73FEC" w:rsidRDefault="00BC2735">
            <w:pPr>
              <w:pStyle w:val="SCCLsocPartyRole"/>
            </w:pPr>
            <w:r>
              <w:t>Applicant</w:t>
            </w:r>
            <w:r>
              <w:br/>
            </w:r>
          </w:p>
          <w:p w14:paraId="12D66D40" w14:textId="77777777" w:rsidR="00F73FEC" w:rsidRDefault="00BC2735">
            <w:pPr>
              <w:pStyle w:val="SCCLsocVersus"/>
            </w:pPr>
            <w:r>
              <w:t>- and -</w:t>
            </w:r>
          </w:p>
          <w:p w14:paraId="12D66D41" w14:textId="77777777" w:rsidR="00F73FEC" w:rsidRDefault="00F73FEC"/>
          <w:p w14:paraId="12D66D42" w14:textId="77777777" w:rsidR="00F73FEC" w:rsidRDefault="00BC2735">
            <w:pPr>
              <w:pStyle w:val="SCCLsocParty"/>
            </w:pPr>
            <w:r>
              <w:t>Catherine Zhao (property owner/employer)</w:t>
            </w:r>
            <w:r>
              <w:br/>
            </w:r>
          </w:p>
          <w:p w14:paraId="12D66D43" w14:textId="77777777" w:rsidR="00F73FEC" w:rsidRDefault="00BC2735">
            <w:pPr>
              <w:pStyle w:val="SCCLsocPartyRole"/>
            </w:pPr>
            <w:r>
              <w:t>Respondent</w:t>
            </w:r>
          </w:p>
        </w:tc>
        <w:tc>
          <w:tcPr>
            <w:tcW w:w="378" w:type="pct"/>
          </w:tcPr>
          <w:p w14:paraId="12D66D44" w14:textId="77777777" w:rsidR="00824412" w:rsidRPr="006E7BAE" w:rsidRDefault="00824412" w:rsidP="00375294"/>
        </w:tc>
        <w:tc>
          <w:tcPr>
            <w:tcW w:w="2332" w:type="pct"/>
          </w:tcPr>
          <w:p w14:paraId="12D66D46" w14:textId="77777777" w:rsidR="00F73FEC" w:rsidRDefault="00BC2735">
            <w:pPr>
              <w:pStyle w:val="SCCLsocPrefix"/>
              <w:rPr>
                <w:lang w:val="fr-CA"/>
              </w:rPr>
            </w:pPr>
            <w:r w:rsidRPr="00F744F9">
              <w:rPr>
                <w:lang w:val="fr-CA"/>
              </w:rPr>
              <w:t>ENTRE :</w:t>
            </w:r>
          </w:p>
          <w:p w14:paraId="02239B65" w14:textId="77777777" w:rsidR="00245BCD" w:rsidRPr="00466A5F" w:rsidRDefault="00245BCD" w:rsidP="00466A5F">
            <w:pPr>
              <w:rPr>
                <w:lang w:val="fr-CA"/>
              </w:rPr>
            </w:pPr>
          </w:p>
          <w:p w14:paraId="12D66D47" w14:textId="77777777" w:rsidR="00F73FEC" w:rsidRPr="00F744F9" w:rsidRDefault="00BC2735">
            <w:pPr>
              <w:pStyle w:val="SCCLsocParty"/>
              <w:rPr>
                <w:lang w:val="fr-CA"/>
              </w:rPr>
            </w:pPr>
            <w:r w:rsidRPr="00F744F9">
              <w:rPr>
                <w:lang w:val="fr-CA"/>
              </w:rPr>
              <w:t>Vaclav Jirasek</w:t>
            </w:r>
            <w:r w:rsidRPr="00F744F9">
              <w:rPr>
                <w:lang w:val="fr-CA"/>
              </w:rPr>
              <w:br/>
            </w:r>
          </w:p>
          <w:p w14:paraId="12D66D48" w14:textId="77777777" w:rsidR="00F73FEC" w:rsidRPr="00F744F9" w:rsidRDefault="00F744F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BC2735" w:rsidRPr="00F744F9">
              <w:rPr>
                <w:lang w:val="fr-CA"/>
              </w:rPr>
              <w:br/>
            </w:r>
          </w:p>
          <w:p w14:paraId="12D66D49" w14:textId="77777777" w:rsidR="00F73FEC" w:rsidRDefault="00BC2735">
            <w:pPr>
              <w:pStyle w:val="SCCLsocVersus"/>
            </w:pPr>
            <w:r>
              <w:t>- et -</w:t>
            </w:r>
          </w:p>
          <w:p w14:paraId="12D66D4A" w14:textId="77777777" w:rsidR="00F73FEC" w:rsidRDefault="00F73FEC"/>
          <w:p w14:paraId="12D66D4B" w14:textId="06B425F8" w:rsidR="00F73FEC" w:rsidRDefault="00BC2735">
            <w:pPr>
              <w:pStyle w:val="SCCLsocParty"/>
            </w:pPr>
            <w:r>
              <w:t xml:space="preserve">Catherine Zhao </w:t>
            </w:r>
            <w:r w:rsidR="00245BCD" w:rsidRPr="00245BCD">
              <w:t>(propriétaire/employeur)</w:t>
            </w:r>
            <w:r>
              <w:br/>
            </w:r>
          </w:p>
          <w:p w14:paraId="12D66D4C" w14:textId="77777777" w:rsidR="00F73FEC" w:rsidRDefault="00F744F9">
            <w:pPr>
              <w:pStyle w:val="SCCLsocPartyRole"/>
            </w:pPr>
            <w:r>
              <w:t>Intimée</w:t>
            </w:r>
          </w:p>
        </w:tc>
      </w:tr>
      <w:tr w:rsidR="00824412" w:rsidRPr="006E7BAE" w14:paraId="12D66D51" w14:textId="77777777" w:rsidTr="00BC2735">
        <w:tc>
          <w:tcPr>
            <w:tcW w:w="2290" w:type="pct"/>
            <w:tcMar>
              <w:top w:w="0" w:type="dxa"/>
              <w:bottom w:w="0" w:type="dxa"/>
            </w:tcMar>
          </w:tcPr>
          <w:p w14:paraId="12D66D4E" w14:textId="77777777" w:rsidR="00824412" w:rsidRPr="006E7BAE" w:rsidRDefault="00824412" w:rsidP="00375294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12D66D4F" w14:textId="77777777" w:rsidR="00824412" w:rsidRPr="006E7BAE" w:rsidRDefault="00824412" w:rsidP="00375294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12D66D5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744F9" w14:paraId="12D66D5B" w14:textId="77777777" w:rsidTr="00BC2735">
        <w:tc>
          <w:tcPr>
            <w:tcW w:w="2290" w:type="pct"/>
          </w:tcPr>
          <w:p w14:paraId="12D66D5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2D66D53" w14:textId="77777777" w:rsidR="00824412" w:rsidRPr="006E7BAE" w:rsidRDefault="00824412" w:rsidP="00417FB7">
            <w:pPr>
              <w:jc w:val="center"/>
            </w:pPr>
          </w:p>
          <w:p w14:paraId="12D66D54" w14:textId="7DEC1EC2" w:rsidR="00824412" w:rsidRDefault="00F744F9" w:rsidP="00011960">
            <w:pPr>
              <w:jc w:val="both"/>
            </w:pPr>
            <w:r>
              <w:t>Th</w:t>
            </w:r>
            <w:r w:rsidRPr="00F744F9">
              <w:t xml:space="preserve">e motion for an extension of time to serve and file the application for leave to appeal </w:t>
            </w:r>
            <w:r w:rsidR="00BD0D5B">
              <w:t xml:space="preserve">is </w:t>
            </w:r>
            <w:r>
              <w:t>granted.</w:t>
            </w:r>
            <w:r w:rsidRPr="00F744F9">
              <w:t xml:space="preserve"> </w:t>
            </w:r>
            <w:r w:rsidR="00BD0D5B" w:rsidRPr="00BD0D5B">
              <w:t>The motion for an extension of time to serve and file</w:t>
            </w:r>
            <w:r w:rsidR="00BD0D5B">
              <w:t xml:space="preserve"> </w:t>
            </w:r>
            <w:r w:rsidR="00BD0D5B" w:rsidRPr="00BD0D5B">
              <w:t>the reply is granted.</w:t>
            </w:r>
            <w:r w:rsidR="00BD0D5B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CA46155</w:t>
            </w:r>
            <w:r>
              <w:t>,</w:t>
            </w:r>
            <w:r w:rsidR="00824412">
              <w:t xml:space="preserve"> 2020 BCCA 308</w:t>
            </w:r>
            <w:r w:rsidR="00824412" w:rsidRPr="006E7BAE">
              <w:t xml:space="preserve">, dated </w:t>
            </w:r>
            <w:r w:rsidR="00824412">
              <w:t>November 2, 2020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  <w:r w:rsidR="00011960" w:rsidRPr="006E7BAE">
              <w:t xml:space="preserve"> </w:t>
            </w:r>
          </w:p>
          <w:p w14:paraId="12D66D55" w14:textId="77777777" w:rsidR="003F6511" w:rsidRDefault="003F6511" w:rsidP="00011960">
            <w:pPr>
              <w:jc w:val="both"/>
            </w:pPr>
          </w:p>
          <w:p w14:paraId="12D66D56" w14:textId="77777777" w:rsidR="003F6511" w:rsidRPr="006E7BAE" w:rsidRDefault="003F6511" w:rsidP="00011960">
            <w:pPr>
              <w:jc w:val="both"/>
            </w:pPr>
          </w:p>
        </w:tc>
        <w:tc>
          <w:tcPr>
            <w:tcW w:w="378" w:type="pct"/>
          </w:tcPr>
          <w:p w14:paraId="12D66D5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32" w:type="pct"/>
          </w:tcPr>
          <w:p w14:paraId="12D66D5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2D66D5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2D66D5A" w14:textId="2BD0B73B" w:rsidR="003F6511" w:rsidRPr="006E7BAE" w:rsidRDefault="00BD0D5B" w:rsidP="00BD0D5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</w:t>
            </w:r>
            <w:r w:rsidR="00BC2735" w:rsidRPr="00BC2735">
              <w:rPr>
                <w:lang w:val="fr-CA"/>
              </w:rPr>
              <w:t xml:space="preserve"> requête en prorogation du délai de signification et de dépôt de la demande d’autorisation d’appel </w:t>
            </w:r>
            <w:r>
              <w:rPr>
                <w:lang w:val="fr-CA"/>
              </w:rPr>
              <w:t>est</w:t>
            </w:r>
            <w:r w:rsidR="00BC2735" w:rsidRPr="00BC2735">
              <w:rPr>
                <w:lang w:val="fr-CA"/>
              </w:rPr>
              <w:t xml:space="preserve"> accueillie. </w:t>
            </w:r>
            <w:r w:rsidRPr="00BD0D5B">
              <w:rPr>
                <w:lang w:val="fr-CA"/>
              </w:rPr>
              <w:t>La requête en prorogation du délai de signification et de dépôt de la réplique</w:t>
            </w:r>
            <w:r>
              <w:rPr>
                <w:lang w:val="fr-CA"/>
              </w:rPr>
              <w:t xml:space="preserve"> </w:t>
            </w:r>
            <w:r w:rsidRPr="00BD0D5B">
              <w:rPr>
                <w:lang w:val="fr-CA"/>
              </w:rPr>
              <w:t>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744F9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744F9">
              <w:rPr>
                <w:lang w:val="fr-CA"/>
              </w:rPr>
              <w:t>CA46155</w:t>
            </w:r>
            <w:r w:rsidR="00F744F9">
              <w:rPr>
                <w:lang w:val="fr-CA"/>
              </w:rPr>
              <w:t>,</w:t>
            </w:r>
            <w:r w:rsidR="00824412" w:rsidRPr="00F744F9">
              <w:rPr>
                <w:lang w:val="fr-CA"/>
              </w:rPr>
              <w:t xml:space="preserve"> 2020 BCCA 308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744F9">
              <w:rPr>
                <w:lang w:val="fr-CA"/>
              </w:rPr>
              <w:t>2 novembre 2020</w:t>
            </w:r>
            <w:r w:rsidR="00824412" w:rsidRPr="006E7BAE">
              <w:rPr>
                <w:lang w:val="fr-CA"/>
              </w:rPr>
              <w:t>, est</w:t>
            </w:r>
            <w:r w:rsidR="00F744F9">
              <w:rPr>
                <w:lang w:val="fr-CA"/>
              </w:rPr>
              <w:t xml:space="preserve"> rejetée sans </w:t>
            </w:r>
            <w:r w:rsidR="00011960" w:rsidRPr="006E7BAE">
              <w:rPr>
                <w:lang w:val="fr-CA"/>
              </w:rPr>
              <w:t>dépens</w:t>
            </w:r>
            <w:r w:rsidR="00F744F9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2D66D5C" w14:textId="77777777" w:rsidR="009F436C" w:rsidRPr="00D83B8C" w:rsidRDefault="009F436C" w:rsidP="00382FEC">
      <w:pPr>
        <w:rPr>
          <w:lang w:val="fr-CA"/>
        </w:rPr>
      </w:pPr>
    </w:p>
    <w:p w14:paraId="12D66D5D" w14:textId="77777777" w:rsidR="009F436C" w:rsidRPr="00D83B8C" w:rsidRDefault="009F436C" w:rsidP="00417FB7">
      <w:pPr>
        <w:jc w:val="center"/>
        <w:rPr>
          <w:lang w:val="fr-CA"/>
        </w:rPr>
      </w:pPr>
    </w:p>
    <w:p w14:paraId="12D66D5E" w14:textId="77777777" w:rsidR="009F436C" w:rsidRPr="00D83B8C" w:rsidRDefault="009F436C" w:rsidP="00417FB7">
      <w:pPr>
        <w:jc w:val="center"/>
        <w:rPr>
          <w:lang w:val="fr-CA"/>
        </w:rPr>
      </w:pPr>
    </w:p>
    <w:p w14:paraId="12D66D5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2D66D60" w14:textId="77777777" w:rsidR="003A37CF" w:rsidRPr="00D83B8C" w:rsidRDefault="003A37CF" w:rsidP="00F744F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6D63" w14:textId="77777777" w:rsidR="00983D48" w:rsidRDefault="00983D48">
      <w:r>
        <w:separator/>
      </w:r>
    </w:p>
  </w:endnote>
  <w:endnote w:type="continuationSeparator" w:id="0">
    <w:p w14:paraId="12D66D6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66D61" w14:textId="77777777" w:rsidR="00983D48" w:rsidRDefault="00983D48">
      <w:r>
        <w:separator/>
      </w:r>
    </w:p>
  </w:footnote>
  <w:footnote w:type="continuationSeparator" w:id="0">
    <w:p w14:paraId="12D66D6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66D6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744F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D66D66" w14:textId="77777777" w:rsidR="008F53F3" w:rsidRDefault="008F53F3" w:rsidP="008F53F3">
    <w:pPr>
      <w:rPr>
        <w:szCs w:val="24"/>
      </w:rPr>
    </w:pPr>
  </w:p>
  <w:p w14:paraId="12D66D67" w14:textId="77777777" w:rsidR="008F53F3" w:rsidRDefault="008F53F3" w:rsidP="008F53F3">
    <w:pPr>
      <w:rPr>
        <w:szCs w:val="24"/>
      </w:rPr>
    </w:pPr>
  </w:p>
  <w:p w14:paraId="12D66D6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39718</w:t>
    </w:r>
    <w:r>
      <w:rPr>
        <w:szCs w:val="24"/>
      </w:rPr>
      <w:t>     </w:t>
    </w:r>
  </w:p>
  <w:p w14:paraId="12D66D6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2D66D6A" w14:textId="77777777" w:rsidR="0073151A" w:rsidRDefault="0073151A" w:rsidP="0073151A"/>
      <w:p w14:paraId="12D66D6B" w14:textId="77777777" w:rsidR="0073151A" w:rsidRPr="006E7BAE" w:rsidRDefault="0073151A" w:rsidP="0073151A"/>
      <w:p w14:paraId="12D66D6C" w14:textId="77777777" w:rsidR="0073151A" w:rsidRPr="006E7BAE" w:rsidRDefault="0073151A" w:rsidP="0073151A"/>
      <w:p w14:paraId="12D66D6D" w14:textId="77777777" w:rsidR="0073151A" w:rsidRPr="006E7BAE" w:rsidRDefault="0073151A" w:rsidP="0073151A"/>
      <w:p w14:paraId="12D66D6E" w14:textId="77777777" w:rsidR="0073151A" w:rsidRDefault="0073151A" w:rsidP="0073151A"/>
      <w:p w14:paraId="12D66D6F" w14:textId="77777777" w:rsidR="0073151A" w:rsidRDefault="0073151A" w:rsidP="0073151A"/>
      <w:p w14:paraId="12D66D70" w14:textId="77777777" w:rsidR="0073151A" w:rsidRDefault="0073151A" w:rsidP="0073151A"/>
      <w:p w14:paraId="12D66D71" w14:textId="77777777" w:rsidR="0073151A" w:rsidRDefault="0073151A" w:rsidP="0073151A"/>
      <w:p w14:paraId="12D66D72" w14:textId="77777777" w:rsidR="0073151A" w:rsidRDefault="0073151A" w:rsidP="0073151A"/>
      <w:p w14:paraId="12D66D73" w14:textId="77777777" w:rsidR="0073151A" w:rsidRPr="006E7BAE" w:rsidRDefault="0073151A" w:rsidP="0073151A"/>
      <w:p w14:paraId="12D66D74" w14:textId="77777777" w:rsidR="00ED265D" w:rsidRPr="0073151A" w:rsidRDefault="002E456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5367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5BCD"/>
    <w:rsid w:val="002523DE"/>
    <w:rsid w:val="002568D3"/>
    <w:rsid w:val="0027284C"/>
    <w:rsid w:val="002B5FA6"/>
    <w:rsid w:val="002C6423"/>
    <w:rsid w:val="002D2D44"/>
    <w:rsid w:val="002E456C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6A5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2735"/>
    <w:rsid w:val="00BC39BE"/>
    <w:rsid w:val="00BD0D5B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3FEC"/>
    <w:rsid w:val="00F744F9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2D66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14146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556F72D-A5B4-47CC-BDB4-5694ABD6F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C7F47-B977-458F-A092-FEC094D2E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DB3E86-0138-4A0C-A519-F397CE52DAC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2021-11-01T13:40:00Z</dcterms:created>
  <dcterms:modified xsi:type="dcterms:W3CDTF">2021-11-01T13:40:00Z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