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28FA0" w14:textId="77777777" w:rsidR="00FD1572" w:rsidRDefault="00661711">
      <w:pPr>
        <w:jc w:val="right"/>
      </w:pPr>
      <w:r>
        <w:rPr>
          <w:szCs w:val="24"/>
        </w:rPr>
        <w:t>N</w:t>
      </w:r>
      <w:r>
        <w:rPr>
          <w:szCs w:val="24"/>
          <w:vertAlign w:val="superscript"/>
        </w:rPr>
        <w:t>o</w:t>
      </w:r>
      <w:r>
        <w:t xml:space="preserve"> 39762     </w:t>
      </w:r>
    </w:p>
    <w:p w14:paraId="5F228FA1" w14:textId="77777777" w:rsidR="00FD1572" w:rsidRDefault="00FD1572"/>
    <w:p w14:paraId="5F228FA2" w14:textId="77777777" w:rsidR="00FD1572" w:rsidRDefault="00FD1572"/>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FD1572" w14:paraId="5F228FA6" w14:textId="77777777">
        <w:tc>
          <w:tcPr>
            <w:tcW w:w="2269" w:type="pct"/>
          </w:tcPr>
          <w:p w14:paraId="5F228FA3" w14:textId="77777777" w:rsidR="00FD1572" w:rsidRDefault="00661711">
            <w:r>
              <w:t>Le 20 janvier 2022</w:t>
            </w:r>
          </w:p>
        </w:tc>
        <w:tc>
          <w:tcPr>
            <w:tcW w:w="381" w:type="pct"/>
          </w:tcPr>
          <w:p w14:paraId="5F228FA4" w14:textId="77777777" w:rsidR="00FD1572" w:rsidRDefault="00FD1572"/>
        </w:tc>
        <w:tc>
          <w:tcPr>
            <w:tcW w:w="2350" w:type="pct"/>
          </w:tcPr>
          <w:p w14:paraId="5F228FA5" w14:textId="77777777" w:rsidR="00FD1572" w:rsidRDefault="00661711">
            <w:pPr>
              <w:rPr>
                <w:lang w:val="en-CA"/>
              </w:rPr>
            </w:pPr>
            <w:r>
              <w:t>January 20, 2022</w:t>
            </w:r>
          </w:p>
        </w:tc>
      </w:tr>
      <w:tr w:rsidR="00FD1572" w14:paraId="5F228FAA" w14:textId="77777777">
        <w:tc>
          <w:tcPr>
            <w:tcW w:w="2269" w:type="pct"/>
            <w:tcMar>
              <w:top w:w="0" w:type="dxa"/>
              <w:bottom w:w="0" w:type="dxa"/>
            </w:tcMar>
          </w:tcPr>
          <w:p w14:paraId="5F228FA7" w14:textId="77777777" w:rsidR="00FD1572" w:rsidRDefault="00FD1572">
            <w:pPr>
              <w:rPr>
                <w:lang w:val="en-US"/>
              </w:rPr>
            </w:pPr>
          </w:p>
        </w:tc>
        <w:tc>
          <w:tcPr>
            <w:tcW w:w="381" w:type="pct"/>
            <w:tcMar>
              <w:top w:w="0" w:type="dxa"/>
              <w:bottom w:w="0" w:type="dxa"/>
            </w:tcMar>
          </w:tcPr>
          <w:p w14:paraId="5F228FA8" w14:textId="77777777" w:rsidR="00FD1572" w:rsidRDefault="00FD1572">
            <w:pPr>
              <w:rPr>
                <w:lang w:val="en-US"/>
              </w:rPr>
            </w:pPr>
          </w:p>
        </w:tc>
        <w:tc>
          <w:tcPr>
            <w:tcW w:w="2350" w:type="pct"/>
            <w:tcMar>
              <w:top w:w="0" w:type="dxa"/>
              <w:bottom w:w="0" w:type="dxa"/>
            </w:tcMar>
          </w:tcPr>
          <w:p w14:paraId="5F228FA9" w14:textId="77777777" w:rsidR="00FD1572" w:rsidRDefault="00FD1572">
            <w:pPr>
              <w:rPr>
                <w:lang w:val="en-CA"/>
              </w:rPr>
            </w:pPr>
          </w:p>
        </w:tc>
      </w:tr>
      <w:tr w:rsidR="00FD1572" w14:paraId="5F228FE8" w14:textId="77777777">
        <w:tc>
          <w:tcPr>
            <w:tcW w:w="2269" w:type="pct"/>
          </w:tcPr>
          <w:p w14:paraId="5F228FAB" w14:textId="77777777" w:rsidR="00FD1572" w:rsidRDefault="00FD1572"/>
          <w:p w14:paraId="5F228FAC" w14:textId="77777777" w:rsidR="00FD1572" w:rsidRDefault="00661711">
            <w:pPr>
              <w:pStyle w:val="SCCLsocPrefix"/>
            </w:pPr>
            <w:r>
              <w:t>ENTRE :</w:t>
            </w:r>
            <w:bookmarkStart w:id="0" w:name="_GoBack"/>
            <w:bookmarkEnd w:id="0"/>
          </w:p>
          <w:p w14:paraId="5F228FAD" w14:textId="77777777" w:rsidR="00FD1572" w:rsidRDefault="00FD1572">
            <w:pPr>
              <w:pStyle w:val="SCCLsocParty"/>
            </w:pPr>
          </w:p>
          <w:p w14:paraId="5F228FAE" w14:textId="77777777" w:rsidR="00FD1572" w:rsidRDefault="00661711">
            <w:pPr>
              <w:pStyle w:val="SCCLsocParty"/>
            </w:pPr>
            <w:r>
              <w:t>Procureur général du Québec</w:t>
            </w:r>
            <w:r>
              <w:br/>
            </w:r>
          </w:p>
          <w:p w14:paraId="5F228FAF" w14:textId="77777777" w:rsidR="00FD1572" w:rsidRDefault="00661711">
            <w:pPr>
              <w:pStyle w:val="SCCLsocPartyRole"/>
            </w:pPr>
            <w:r>
              <w:t>Demandeur</w:t>
            </w:r>
            <w:r>
              <w:br/>
            </w:r>
          </w:p>
          <w:p w14:paraId="5F228FB0" w14:textId="77777777" w:rsidR="00FD1572" w:rsidRDefault="00661711">
            <w:pPr>
              <w:pStyle w:val="SCCLsocVersus"/>
            </w:pPr>
            <w:r>
              <w:t>- et -</w:t>
            </w:r>
          </w:p>
          <w:p w14:paraId="5F228FB1" w14:textId="77777777" w:rsidR="00FD1572" w:rsidRDefault="00FD1572"/>
          <w:p w14:paraId="5F228FB2" w14:textId="77777777" w:rsidR="00FD1572" w:rsidRDefault="00661711">
            <w:pPr>
              <w:pStyle w:val="SCCLsocParty"/>
            </w:pPr>
            <w:r>
              <w:t>Philippe Léveillé</w:t>
            </w:r>
            <w:r>
              <w:br/>
            </w:r>
          </w:p>
          <w:p w14:paraId="5F228FB3" w14:textId="77777777" w:rsidR="00FD1572" w:rsidRDefault="00661711">
            <w:pPr>
              <w:pStyle w:val="SCCLsocPartyRole"/>
            </w:pPr>
            <w:r>
              <w:t>Intimé</w:t>
            </w:r>
          </w:p>
          <w:p w14:paraId="5F228FB4" w14:textId="77777777" w:rsidR="00FD1572" w:rsidRDefault="00FD1572">
            <w:pPr>
              <w:pStyle w:val="SCCLsocPartyRole"/>
            </w:pPr>
          </w:p>
          <w:p w14:paraId="5F228FB5" w14:textId="77777777" w:rsidR="00FD1572" w:rsidRDefault="00661711">
            <w:pPr>
              <w:pStyle w:val="SCCLsocVersus"/>
            </w:pPr>
            <w:r>
              <w:t>- et -</w:t>
            </w:r>
          </w:p>
          <w:p w14:paraId="5F228FB6" w14:textId="77777777" w:rsidR="00FD1572" w:rsidRDefault="00FD1572">
            <w:pPr>
              <w:pStyle w:val="SCCLsocPartyRole"/>
            </w:pPr>
          </w:p>
          <w:p w14:paraId="5F228FB7" w14:textId="77777777" w:rsidR="00FD1572" w:rsidRDefault="00661711">
            <w:pPr>
              <w:pStyle w:val="SCCLsocPartyRole"/>
            </w:pPr>
            <w:r>
              <w:t xml:space="preserve">Régie de l’assurance maladie du Québec et Groupe Vision New Look inc. </w:t>
            </w:r>
            <w:r>
              <w:br/>
            </w:r>
          </w:p>
          <w:p w14:paraId="5F228FB8" w14:textId="77777777" w:rsidR="00FD1572" w:rsidRDefault="00661711">
            <w:pPr>
              <w:jc w:val="center"/>
            </w:pPr>
            <w:r>
              <w:t>Intervenants</w:t>
            </w:r>
          </w:p>
          <w:p w14:paraId="5F228FB9" w14:textId="77777777" w:rsidR="00FD1572" w:rsidRDefault="00FD1572">
            <w:pPr>
              <w:jc w:val="center"/>
            </w:pPr>
          </w:p>
          <w:p w14:paraId="5F228FBA" w14:textId="77777777" w:rsidR="00FD1572" w:rsidRDefault="00661711">
            <w:pPr>
              <w:pStyle w:val="SCCLsocSubfileSeparator"/>
            </w:pPr>
            <w:r>
              <w:t>ET ENTRE :</w:t>
            </w:r>
          </w:p>
          <w:p w14:paraId="5F228FBB" w14:textId="77777777" w:rsidR="00FD1572" w:rsidRDefault="00FD1572"/>
          <w:p w14:paraId="5F228FBC" w14:textId="77777777" w:rsidR="00FD1572" w:rsidRDefault="00661711">
            <w:pPr>
              <w:pStyle w:val="SCCLsocParty"/>
            </w:pPr>
            <w:r>
              <w:t>Groupe Vision New Look inc.</w:t>
            </w:r>
            <w:r>
              <w:br/>
            </w:r>
          </w:p>
          <w:p w14:paraId="5F228FBD" w14:textId="77777777" w:rsidR="00FD1572" w:rsidRDefault="00661711">
            <w:pPr>
              <w:pStyle w:val="SCCLsocPartyRole"/>
            </w:pPr>
            <w:r>
              <w:t>Demanderesse</w:t>
            </w:r>
            <w:r>
              <w:br/>
            </w:r>
          </w:p>
          <w:p w14:paraId="5F228FBE" w14:textId="77777777" w:rsidR="00FD1572" w:rsidRDefault="00661711">
            <w:pPr>
              <w:pStyle w:val="SCCLsocVersus"/>
            </w:pPr>
            <w:r>
              <w:t>- et -</w:t>
            </w:r>
          </w:p>
          <w:p w14:paraId="5F228FBF" w14:textId="77777777" w:rsidR="00FD1572" w:rsidRDefault="00FD1572"/>
          <w:p w14:paraId="5F228FC0" w14:textId="77777777" w:rsidR="00FD1572" w:rsidRDefault="00661711">
            <w:pPr>
              <w:pStyle w:val="SCCLsocParty"/>
            </w:pPr>
            <w:r>
              <w:t xml:space="preserve">Philippe Léveillé </w:t>
            </w:r>
            <w:r>
              <w:br/>
            </w:r>
          </w:p>
          <w:p w14:paraId="5F228FC1" w14:textId="77777777" w:rsidR="00FD1572" w:rsidRDefault="00661711">
            <w:pPr>
              <w:pStyle w:val="SCCLsocPartyRole"/>
            </w:pPr>
            <w:r>
              <w:t>Intimé</w:t>
            </w:r>
          </w:p>
          <w:p w14:paraId="5F228FC2" w14:textId="77777777" w:rsidR="00FD1572" w:rsidRDefault="00FD1572"/>
          <w:p w14:paraId="5F228FC3" w14:textId="77777777" w:rsidR="00FD1572" w:rsidRDefault="00661711">
            <w:pPr>
              <w:pStyle w:val="SCCLsocVersus"/>
            </w:pPr>
            <w:r>
              <w:lastRenderedPageBreak/>
              <w:t>- et -</w:t>
            </w:r>
          </w:p>
          <w:p w14:paraId="5F228FC4" w14:textId="77777777" w:rsidR="00FD1572" w:rsidRDefault="00FD1572"/>
          <w:p w14:paraId="5F228FC5" w14:textId="77777777" w:rsidR="00FD1572" w:rsidRDefault="00661711">
            <w:pPr>
              <w:pStyle w:val="SCCLsocParty"/>
            </w:pPr>
            <w:r>
              <w:t>Procureur général du Québec, Régie de l’assurance maladie du Québec</w:t>
            </w:r>
            <w:r>
              <w:t>, Institut du glaucome de Montréal inc., Clinique O, Chirurgie plastique et esthétique de l’oeil inc., Frédéric Lord, Jurate Uleckas, Robert Sabbah, François Lavigne, Groupe Opmedic inc., Clinique de gastro-entérologie de Laval inc., Dr. Isabelle Delorme i</w:t>
            </w:r>
            <w:r>
              <w:t>nc., Clinique dermatologique de la Rive-sud, J. S. Benhamron M.D. Inc., Michèle Leclerc, 7044968 Canada inc., Imagerie Médicale Westmount Square inc., Le groupe spécialiste ENT, S.E.N.C., Institut de l’oeil de Montréal inc., Marie-Michelle Cayer, Placement</w:t>
            </w:r>
            <w:r>
              <w:t>s Optibui inc., Girair Basmadjian, Jacques Bellefeuille, Gestion Plexo inc., Élizabeth Gariépy M.D. inc., Luc Leclaire, Ophtalmologie Lanaudière-Sud S.E.N.C., Christian Perreault, Martine Jean, RRX médical inc., Étienne Gauvin, Dre Joëlle Baril inc., April</w:t>
            </w:r>
            <w:r>
              <w:t xml:space="preserve"> Wootten, Steeve Létourneau M.D. inc., 9084-7757 Québec inc., Centre oculaire de Québec inc., Shawn Cohen, Pijoco inc., Contact Optico inc., Centre de physiatrie Sherbrooke inc., Francine Cardinal, Antranik Benohanian, Institut de l’oeil des Laurentides in</w:t>
            </w:r>
            <w:r>
              <w:t>c., Yvon Benoit, La clinique de santé visuelle de Montréal, La clinique d’ophtalmologie du Haut Richelieu inc., Clinique de l’alternative inc., GMF Centre médical du parc, 9189-2984 Québec inc., Pierre Blondeau, F. Ross M.D. inc., Pierre Turcotte M.D. inc.</w:t>
            </w:r>
            <w:r>
              <w:t>, Zieuté inc., Radiologie Varad S.E.N.C.R.L., Luc Comtois, 2645-8224 Québec inc., Institut de chirurgie spécialisée de Montréal inc., Clinique de radiologie de Granby inc., 100 % Vision inc., Alfred Balbul, Clinique d’ophtalmologie Ferremi Bouleau inc., Je</w:t>
            </w:r>
            <w:r>
              <w:t xml:space="preserve">an-Junior Normandin, Centre de santé </w:t>
            </w:r>
            <w:r>
              <w:lastRenderedPageBreak/>
              <w:t>intégrale et de recherche clinique à Cookshire inc., FYI services et produits Québec inc., Centre de recherche et d’enseignement d’échoendoscopie de Montréal inc., Centre de gastro-entérologie (Montréal, West Island) in</w:t>
            </w:r>
            <w:r>
              <w:t>c., Béatrice Wang, François Roberge, ophtalmologue inc., Clinique de l’oeil Rockland inc., Joël Claveau, Michel Gravel, Clinique ophtalmologique Daniel Yu inc., Alan Coffey, Renée Carignan, Dan Bergeron, MD Eyecare inc., Beauce Optique inc., John Chen, Chr</w:t>
            </w:r>
            <w:r>
              <w:t>ista Staudenmaier, Service d’urologie S.E.N.C.R.L., 1843-1353 Québec inc., Gestion C.D.Q.M. inc., Stéphane Pierre Morin, Marian Zaharia, Endovision Plus inc., Jacques Samson, Dr. F. Cardinal inc., Radiologistes universitaires de Montréal S.E.N.C.R.L., Andr</w:t>
            </w:r>
            <w:r>
              <w:t>é Quirion M.D. inc., Loukia Mitsos, Dimitrios Kyritsis, Clinique d’optométrie Bellevue inc., Clinique d’ophtalmologie Bellevue Laval, Philippe Lafaille, D.S. et J.C. Chapleau O.O.D. inc., La vue capitale inc., Bénédicte Morisse, Hélène Maltais, Lakeshore o</w:t>
            </w:r>
            <w:r>
              <w:t>phtalmologie, 9204-9204 Québec inc., Centre médical Fontainebleau inc. et Clinique d'ophtalmologie COI Laval</w:t>
            </w:r>
          </w:p>
          <w:p w14:paraId="5F228FC6" w14:textId="77777777" w:rsidR="00FD1572" w:rsidRDefault="00FD1572"/>
          <w:p w14:paraId="5F228FC7" w14:textId="77777777" w:rsidR="00FD1572" w:rsidRDefault="00661711">
            <w:pPr>
              <w:pStyle w:val="SCCLsocPartyRole"/>
            </w:pPr>
            <w:r>
              <w:t>Intervenants</w:t>
            </w:r>
          </w:p>
        </w:tc>
        <w:tc>
          <w:tcPr>
            <w:tcW w:w="381" w:type="pct"/>
          </w:tcPr>
          <w:p w14:paraId="5F228FC8" w14:textId="77777777" w:rsidR="00FD1572" w:rsidRDefault="00FD1572"/>
        </w:tc>
        <w:tc>
          <w:tcPr>
            <w:tcW w:w="2350" w:type="pct"/>
          </w:tcPr>
          <w:p w14:paraId="5F228FC9" w14:textId="77777777" w:rsidR="00FD1572" w:rsidRDefault="00FD1572"/>
          <w:p w14:paraId="5F228FCA" w14:textId="77777777" w:rsidR="00FD1572" w:rsidRDefault="00661711">
            <w:pPr>
              <w:pStyle w:val="SCCLsocPrefix"/>
              <w:rPr>
                <w:lang w:val="en-CA"/>
              </w:rPr>
            </w:pPr>
            <w:r>
              <w:rPr>
                <w:lang w:val="en-CA"/>
              </w:rPr>
              <w:t>BETWEEN:</w:t>
            </w:r>
          </w:p>
          <w:p w14:paraId="5F228FCB" w14:textId="77777777" w:rsidR="00FD1572" w:rsidRDefault="00FD1572">
            <w:pPr>
              <w:pStyle w:val="SCCLsocParty"/>
              <w:rPr>
                <w:lang w:val="en-CA"/>
              </w:rPr>
            </w:pPr>
          </w:p>
          <w:p w14:paraId="5F228FCC" w14:textId="77777777" w:rsidR="00FD1572" w:rsidRDefault="00661711">
            <w:pPr>
              <w:pStyle w:val="SCCLsocParty"/>
              <w:rPr>
                <w:lang w:val="en-CA"/>
              </w:rPr>
            </w:pPr>
            <w:r>
              <w:rPr>
                <w:lang w:val="en-CA"/>
              </w:rPr>
              <w:t>Attorney General of Quebec</w:t>
            </w:r>
            <w:r>
              <w:rPr>
                <w:lang w:val="en-CA"/>
              </w:rPr>
              <w:br/>
            </w:r>
          </w:p>
          <w:p w14:paraId="5F228FCD" w14:textId="77777777" w:rsidR="00FD1572" w:rsidRDefault="00661711">
            <w:pPr>
              <w:pStyle w:val="SCCLsocPartyRole"/>
            </w:pPr>
            <w:r>
              <w:t>Applicant</w:t>
            </w:r>
            <w:r>
              <w:br/>
            </w:r>
          </w:p>
          <w:p w14:paraId="5F228FCE" w14:textId="77777777" w:rsidR="00FD1572" w:rsidRDefault="00661711">
            <w:pPr>
              <w:pStyle w:val="SCCLsocVersus"/>
            </w:pPr>
            <w:r>
              <w:t>- and -</w:t>
            </w:r>
          </w:p>
          <w:p w14:paraId="5F228FCF" w14:textId="77777777" w:rsidR="00FD1572" w:rsidRDefault="00FD1572"/>
          <w:p w14:paraId="5F228FD0" w14:textId="77777777" w:rsidR="00FD1572" w:rsidRDefault="00661711">
            <w:pPr>
              <w:pStyle w:val="SCCLsocParty"/>
            </w:pPr>
            <w:r>
              <w:t>Philippe Léveillé</w:t>
            </w:r>
            <w:r>
              <w:br/>
            </w:r>
          </w:p>
          <w:p w14:paraId="5F228FD1" w14:textId="77777777" w:rsidR="00FD1572" w:rsidRDefault="00661711">
            <w:pPr>
              <w:pStyle w:val="SCCLsocPartyRole"/>
            </w:pPr>
            <w:r>
              <w:t>Respondent</w:t>
            </w:r>
          </w:p>
          <w:p w14:paraId="5F228FD2" w14:textId="77777777" w:rsidR="00FD1572" w:rsidRDefault="00FD1572"/>
          <w:p w14:paraId="5F228FD3" w14:textId="77777777" w:rsidR="00FD1572" w:rsidRDefault="00661711">
            <w:pPr>
              <w:pStyle w:val="SCCLsocVersus"/>
            </w:pPr>
            <w:r>
              <w:t>- and -</w:t>
            </w:r>
          </w:p>
          <w:p w14:paraId="5F228FD4" w14:textId="77777777" w:rsidR="00FD1572" w:rsidRDefault="00FD1572">
            <w:pPr>
              <w:pStyle w:val="SCCLsocPartyRole"/>
            </w:pPr>
          </w:p>
          <w:p w14:paraId="5F228FD5" w14:textId="77777777" w:rsidR="00FD1572" w:rsidRDefault="00661711">
            <w:pPr>
              <w:pStyle w:val="SCCLsocPartyRole"/>
            </w:pPr>
            <w:r>
              <w:t>Régie de l’assurance maladie du Québec and Groupe Vision New Look inc.</w:t>
            </w:r>
            <w:r>
              <w:br/>
            </w:r>
          </w:p>
          <w:p w14:paraId="5F228FD6" w14:textId="77777777" w:rsidR="00FD1572" w:rsidRDefault="00661711">
            <w:pPr>
              <w:jc w:val="center"/>
              <w:rPr>
                <w:lang w:val="en-CA"/>
              </w:rPr>
            </w:pPr>
            <w:r>
              <w:rPr>
                <w:lang w:val="en-CA"/>
              </w:rPr>
              <w:t>Interveners</w:t>
            </w:r>
          </w:p>
          <w:p w14:paraId="5F228FD7" w14:textId="77777777" w:rsidR="00FD1572" w:rsidRDefault="00FD1572">
            <w:pPr>
              <w:jc w:val="center"/>
              <w:rPr>
                <w:lang w:val="en-CA"/>
              </w:rPr>
            </w:pPr>
          </w:p>
          <w:p w14:paraId="5F228FD8" w14:textId="77777777" w:rsidR="00FD1572" w:rsidRDefault="00661711">
            <w:pPr>
              <w:pStyle w:val="SCCLsocSubfileSeparator"/>
              <w:rPr>
                <w:lang w:val="en-US"/>
              </w:rPr>
            </w:pPr>
            <w:r>
              <w:rPr>
                <w:lang w:val="en-US"/>
              </w:rPr>
              <w:t>AND BETWEEN:</w:t>
            </w:r>
          </w:p>
          <w:p w14:paraId="5F228FD9" w14:textId="77777777" w:rsidR="00FD1572" w:rsidRDefault="00FD1572">
            <w:pPr>
              <w:rPr>
                <w:lang w:val="en-US"/>
              </w:rPr>
            </w:pPr>
          </w:p>
          <w:p w14:paraId="5F228FDA" w14:textId="77777777" w:rsidR="00FD1572" w:rsidRDefault="00661711">
            <w:pPr>
              <w:pStyle w:val="SCCLsocParty"/>
              <w:rPr>
                <w:lang w:val="en-US"/>
              </w:rPr>
            </w:pPr>
            <w:r>
              <w:rPr>
                <w:lang w:val="en-US"/>
              </w:rPr>
              <w:t>Groupe Vision New Look inc.</w:t>
            </w:r>
            <w:r>
              <w:rPr>
                <w:lang w:val="en-US"/>
              </w:rPr>
              <w:br/>
            </w:r>
          </w:p>
          <w:p w14:paraId="5F228FDB" w14:textId="77777777" w:rsidR="00FD1572" w:rsidRDefault="00661711">
            <w:pPr>
              <w:pStyle w:val="SCCLsocPartyRole"/>
            </w:pPr>
            <w:r>
              <w:t>Applicant</w:t>
            </w:r>
            <w:r>
              <w:br/>
            </w:r>
          </w:p>
          <w:p w14:paraId="5F228FDC" w14:textId="77777777" w:rsidR="00FD1572" w:rsidRDefault="00661711">
            <w:pPr>
              <w:pStyle w:val="SCCLsocVersus"/>
            </w:pPr>
            <w:r>
              <w:t>- and -</w:t>
            </w:r>
          </w:p>
          <w:p w14:paraId="5F228FDD" w14:textId="77777777" w:rsidR="00FD1572" w:rsidRDefault="00FD1572"/>
          <w:p w14:paraId="5F228FDE" w14:textId="77777777" w:rsidR="00FD1572" w:rsidRDefault="00661711">
            <w:pPr>
              <w:pStyle w:val="SCCLsocParty"/>
            </w:pPr>
            <w:r>
              <w:t xml:space="preserve">Philippe Léveillé </w:t>
            </w:r>
            <w:r>
              <w:br/>
            </w:r>
          </w:p>
          <w:p w14:paraId="5F228FDF" w14:textId="77777777" w:rsidR="00FD1572" w:rsidRDefault="00661711">
            <w:pPr>
              <w:pStyle w:val="SCCLsocPartyRole"/>
            </w:pPr>
            <w:r>
              <w:t>Respondent</w:t>
            </w:r>
          </w:p>
          <w:p w14:paraId="5F228FE0" w14:textId="77777777" w:rsidR="00FD1572" w:rsidRDefault="00FD1572"/>
          <w:p w14:paraId="5F228FE1" w14:textId="77777777" w:rsidR="00FD1572" w:rsidRDefault="00661711">
            <w:pPr>
              <w:pStyle w:val="SCCLsocVersus"/>
            </w:pPr>
            <w:r>
              <w:lastRenderedPageBreak/>
              <w:t>- and -</w:t>
            </w:r>
          </w:p>
          <w:p w14:paraId="5F228FE2" w14:textId="77777777" w:rsidR="00FD1572" w:rsidRDefault="00FD1572"/>
          <w:p w14:paraId="5F228FE3" w14:textId="77777777" w:rsidR="00FD1572" w:rsidRDefault="00661711">
            <w:pPr>
              <w:pStyle w:val="SCCLsocParty"/>
            </w:pPr>
            <w:r>
              <w:t>Attorney General of Quebec, Régie de l’assurance maladie du Québec</w:t>
            </w:r>
            <w:r>
              <w:t>, Institut du glaucome de Montréal inc., Clinique O, Chirurgie plastique et esthétique de l’oeil inc., Frédéric Lord, Jurate Uleckas, Robert Sabbah, François Lavigne, Groupe Opmedic inc., Clinique de gastro-entérologie de Laval inc., Dr. Isabelle Delorme i</w:t>
            </w:r>
            <w:r>
              <w:t>nc., Clinique dermatologique de la Rive-sud, J. S. Benhamron M.D. Inc., Michèle Leclerc, 7044968 Canada inc., Imagerie Médicale Westmount Square inc., Le groupe spécialiste ENT, S.E.N.C., Institut de l’oeil de Montréal inc., Marie-Michelle Cayer, Placement</w:t>
            </w:r>
            <w:r>
              <w:t>s Optibui inc., Girair Basmadjian, Jacques Bellefeuille, Gestion Plexo inc., Élizabeth Gariépy M.D. inc., Luc Leclaire, Ophtalmologie Lanaudière-Sud S.E.N.C., Christian Perreault, Martine Jean, RRX médical inc., Étienne Gauvin, Dre Joëlle Baril inc., April</w:t>
            </w:r>
            <w:r>
              <w:t xml:space="preserve"> Wootten, Steeve Létourneau M.D. inc., 9084-7757 Québec inc., Centre oculaire de Québec inc., Shawn Cohen, Pijoco inc., Contact Optico inc., Centre de physiatrie Sherbrooke inc., Francine Cardinal, Antranik Benohanian, Institut de l’oeil des Laurentides in</w:t>
            </w:r>
            <w:r>
              <w:t>c., Yvon Benoit, La clinique de santé visuelle de Montréal, La clinique d’ophtalmologie du Haut Richelieu inc., Clinique de l’alternative inc., GMF Centre médical du parc, 9189-2984 Québec inc., Pierre Blondeau, F. Ross M.D. inc., Pierre Turcotte M.D. inc.</w:t>
            </w:r>
            <w:r>
              <w:t>, Zieuté inc., Radiologie Varad S.E.N.C.R.L., Luc Comtois, 2645-8224 Québec inc., Institut de chirurgie spécialisée de Montréal inc., Clinique de radiologie de Granby inc., 100 % Vision inc., Alfred Balbul, Clinique d’ophtalmologie Ferremi Bouleau inc., Je</w:t>
            </w:r>
            <w:r>
              <w:t xml:space="preserve">an-Junior Normandin, Centre de santé intégrale et de recherche clinique à </w:t>
            </w:r>
            <w:r>
              <w:lastRenderedPageBreak/>
              <w:t>Cookshire inc., FYI services et produits Québec inc., Centre de recherche et d’enseignement d’échoendoscopie de Montréal inc., Centre de gastroentérologie (Montréal, West Island) inc</w:t>
            </w:r>
            <w:r>
              <w:t>., Béatrice Wang, François Roberge, ophtalmologue inc., Clinique de l’oeil Rockland inc., Joël Claveau, Michel Gravel, Clinique ophtalmologique Daniel Yu inc., Alan Coffey, Renée Carignan, Dan Bergeron, MD Eyecare inc., Beauce Optique inc., John Chen, Chri</w:t>
            </w:r>
            <w:r>
              <w:t>sta Staudenmaier, Service d’urologie S.E.N.C.R.L., 1843-1353 Québec inc., Gestion C.D.Q.M. inc., Stéphane Pierre Morin, Marian Zaharia, Endovision Plus inc., Jacques Samson, Dr. F. Cardinal inc., Radiologistes universitaires de Montréal S.E.N.C.R.L., André</w:t>
            </w:r>
            <w:r>
              <w:t xml:space="preserve"> Quirion M.D. inc., Loukia Mitsos, Dimitrios Kyritsis, Clinique d’optométrie Bellevue inc., Clinique d’ophtalmologie Bellevue Laval, Philippe Lafaille, D.S. et J.C. Chapleau O.O.D. inc.</w:t>
            </w:r>
            <w:r>
              <w:rPr>
                <w:strike/>
              </w:rPr>
              <w:t>.</w:t>
            </w:r>
            <w:r>
              <w:t>, La vue capitale inc., Bénédicte Morisse, Hélène Maltais, Lakeshore</w:t>
            </w:r>
            <w:r>
              <w:t xml:space="preserve"> ophtalmologie, 9204-9204 Québec inc., Centre médical Fontainebleau inc. and Clinique d'ophtalmologie COI Laval </w:t>
            </w:r>
          </w:p>
          <w:p w14:paraId="5F228FE4" w14:textId="77777777" w:rsidR="00FD1572" w:rsidRDefault="00FD1572"/>
          <w:p w14:paraId="5F228FE5" w14:textId="77777777" w:rsidR="00FD1572" w:rsidRDefault="00FD1572">
            <w:pPr>
              <w:pStyle w:val="SCCLsocPartyRole"/>
            </w:pPr>
          </w:p>
          <w:p w14:paraId="5F228FE6" w14:textId="77777777" w:rsidR="00FD1572" w:rsidRDefault="00FD1572">
            <w:pPr>
              <w:pStyle w:val="SCCLsocPartyRole"/>
            </w:pPr>
          </w:p>
          <w:p w14:paraId="5F228FE7" w14:textId="77777777" w:rsidR="00FD1572" w:rsidRDefault="00661711">
            <w:pPr>
              <w:pStyle w:val="SCCLsocPartyRole"/>
            </w:pPr>
            <w:r>
              <w:t>Interveners</w:t>
            </w:r>
          </w:p>
        </w:tc>
      </w:tr>
      <w:tr w:rsidR="00FD1572" w14:paraId="5F228FEC" w14:textId="77777777">
        <w:tc>
          <w:tcPr>
            <w:tcW w:w="2269" w:type="pct"/>
            <w:tcMar>
              <w:top w:w="0" w:type="dxa"/>
              <w:bottom w:w="0" w:type="dxa"/>
            </w:tcMar>
          </w:tcPr>
          <w:p w14:paraId="5F228FE9" w14:textId="77777777" w:rsidR="00FD1572" w:rsidRDefault="00FD1572">
            <w:pPr>
              <w:rPr>
                <w:lang w:val="en-CA"/>
              </w:rPr>
            </w:pPr>
          </w:p>
        </w:tc>
        <w:tc>
          <w:tcPr>
            <w:tcW w:w="381" w:type="pct"/>
            <w:tcMar>
              <w:top w:w="0" w:type="dxa"/>
              <w:bottom w:w="0" w:type="dxa"/>
            </w:tcMar>
          </w:tcPr>
          <w:p w14:paraId="5F228FEA" w14:textId="77777777" w:rsidR="00FD1572" w:rsidRDefault="00FD1572">
            <w:pPr>
              <w:rPr>
                <w:lang w:val="en-US"/>
              </w:rPr>
            </w:pPr>
          </w:p>
        </w:tc>
        <w:tc>
          <w:tcPr>
            <w:tcW w:w="2350" w:type="pct"/>
            <w:tcMar>
              <w:top w:w="0" w:type="dxa"/>
              <w:bottom w:w="0" w:type="dxa"/>
            </w:tcMar>
          </w:tcPr>
          <w:p w14:paraId="5F228FEB" w14:textId="77777777" w:rsidR="00FD1572" w:rsidRDefault="00FD1572">
            <w:pPr>
              <w:rPr>
                <w:lang w:val="en-CA"/>
              </w:rPr>
            </w:pPr>
          </w:p>
        </w:tc>
      </w:tr>
      <w:tr w:rsidR="00FD1572" w14:paraId="5F229002" w14:textId="77777777">
        <w:tc>
          <w:tcPr>
            <w:tcW w:w="2269" w:type="pct"/>
          </w:tcPr>
          <w:p w14:paraId="5F228FED" w14:textId="77777777" w:rsidR="00FD1572" w:rsidRDefault="00661711">
            <w:pPr>
              <w:jc w:val="center"/>
            </w:pPr>
            <w:r>
              <w:t>JUGEMENT</w:t>
            </w:r>
          </w:p>
          <w:p w14:paraId="5F228FEE" w14:textId="77777777" w:rsidR="00FD1572" w:rsidRDefault="00FD1572">
            <w:pPr>
              <w:jc w:val="center"/>
            </w:pPr>
          </w:p>
          <w:p w14:paraId="5F228FEF" w14:textId="77777777" w:rsidR="00FD1572" w:rsidRDefault="00661711">
            <w:pPr>
              <w:jc w:val="both"/>
            </w:pPr>
            <w:r>
              <w:t xml:space="preserve">La demande d’autorisation d’appel, déposée par le procureur général du Québec, de l’arrêt de la Cour d’appel du </w:t>
            </w:r>
            <w:r>
              <w:t xml:space="preserve">Québec (Montréal), numéros 500-09-028336-196, 500-09-028337-194 et 500-09-028338-192, 2021 QCCA 653, daté du 23 avril 2021, est rejetée avec dépens. </w:t>
            </w:r>
          </w:p>
          <w:p w14:paraId="5F228FF0" w14:textId="77777777" w:rsidR="00FD1572" w:rsidRDefault="00FD1572">
            <w:pPr>
              <w:jc w:val="both"/>
            </w:pPr>
          </w:p>
          <w:p w14:paraId="5F228FF1" w14:textId="77777777" w:rsidR="00FD1572" w:rsidRDefault="00661711">
            <w:pPr>
              <w:jc w:val="both"/>
            </w:pPr>
            <w:r>
              <w:lastRenderedPageBreak/>
              <w:t>La requête en prorogation du délai pour signification de la demande d’autorisation d’appel, déposée par G</w:t>
            </w:r>
            <w:r>
              <w:t xml:space="preserve">roupe Vision New Look inc., est accordée. </w:t>
            </w:r>
          </w:p>
          <w:p w14:paraId="5F228FF2" w14:textId="77777777" w:rsidR="00FD1572" w:rsidRDefault="00FD1572">
            <w:pPr>
              <w:jc w:val="both"/>
            </w:pPr>
          </w:p>
          <w:p w14:paraId="5F228FF3" w14:textId="77777777" w:rsidR="00FD1572" w:rsidRDefault="00661711">
            <w:pPr>
              <w:jc w:val="both"/>
            </w:pPr>
            <w:r>
              <w:t>La demande d’autorisation d’appel, déposée par Groupe Vision New Look inc., de l’arrêt de la Cour d’appel du Québec (Montréal), numéros 500-09-028336-196, 500-09-028337-194 et 500-09-028338-192, 2021 QCCA 653, da</w:t>
            </w:r>
            <w:r>
              <w:t>té du 23 avril 2021, est rejetée avec dépens.</w:t>
            </w:r>
          </w:p>
          <w:p w14:paraId="5F228FF4" w14:textId="77777777" w:rsidR="00FD1572" w:rsidRDefault="00FD1572">
            <w:pPr>
              <w:jc w:val="both"/>
            </w:pPr>
          </w:p>
          <w:p w14:paraId="5F228FF5" w14:textId="77777777" w:rsidR="00FD1572" w:rsidRDefault="00FD1572">
            <w:pPr>
              <w:jc w:val="both"/>
            </w:pPr>
          </w:p>
          <w:p w14:paraId="5F228FF6" w14:textId="77777777" w:rsidR="00FD1572" w:rsidRDefault="00FD1572">
            <w:pPr>
              <w:jc w:val="both"/>
            </w:pPr>
          </w:p>
        </w:tc>
        <w:tc>
          <w:tcPr>
            <w:tcW w:w="381" w:type="pct"/>
          </w:tcPr>
          <w:p w14:paraId="5F228FF7" w14:textId="77777777" w:rsidR="00FD1572" w:rsidRDefault="00FD1572">
            <w:pPr>
              <w:jc w:val="center"/>
            </w:pPr>
          </w:p>
        </w:tc>
        <w:tc>
          <w:tcPr>
            <w:tcW w:w="2350" w:type="pct"/>
          </w:tcPr>
          <w:p w14:paraId="5F228FF8" w14:textId="77777777" w:rsidR="00FD1572" w:rsidRDefault="00661711">
            <w:pPr>
              <w:jc w:val="center"/>
              <w:rPr>
                <w:lang w:val="en-CA"/>
              </w:rPr>
            </w:pPr>
            <w:r>
              <w:rPr>
                <w:lang w:val="en-CA"/>
              </w:rPr>
              <w:t>JUDGMENT</w:t>
            </w:r>
          </w:p>
          <w:p w14:paraId="5F228FF9" w14:textId="77777777" w:rsidR="00FD1572" w:rsidRDefault="00FD1572">
            <w:pPr>
              <w:jc w:val="center"/>
              <w:rPr>
                <w:lang w:val="en-CA"/>
              </w:rPr>
            </w:pPr>
          </w:p>
          <w:p w14:paraId="5F228FFA" w14:textId="77777777" w:rsidR="00FD1572" w:rsidRDefault="00661711">
            <w:pPr>
              <w:jc w:val="both"/>
              <w:rPr>
                <w:lang w:val="en-US"/>
              </w:rPr>
            </w:pPr>
            <w:r>
              <w:rPr>
                <w:lang w:val="en-CA"/>
              </w:rPr>
              <w:t xml:space="preserve">The application for leave to appeal, filed by the </w:t>
            </w:r>
            <w:r>
              <w:rPr>
                <w:lang w:val="en-US"/>
              </w:rPr>
              <w:t xml:space="preserve">Attorney General of Quebec, </w:t>
            </w:r>
            <w:r>
              <w:rPr>
                <w:lang w:val="en-CA"/>
              </w:rPr>
              <w:t xml:space="preserve">from the judgment of the </w:t>
            </w:r>
            <w:r>
              <w:rPr>
                <w:lang w:val="en-US"/>
              </w:rPr>
              <w:t>Court of Appeal of Quebec (Montreal)</w:t>
            </w:r>
            <w:r>
              <w:rPr>
                <w:lang w:val="en-CA"/>
              </w:rPr>
              <w:t xml:space="preserve">, Numbers </w:t>
            </w:r>
            <w:r>
              <w:rPr>
                <w:lang w:val="en-US"/>
              </w:rPr>
              <w:t>500-09-028336-196, 500-09-028337-194 and 500-09</w:t>
            </w:r>
            <w:r>
              <w:rPr>
                <w:lang w:val="en-US"/>
              </w:rPr>
              <w:t>-028338-192</w:t>
            </w:r>
            <w:r>
              <w:rPr>
                <w:lang w:val="en-CA"/>
              </w:rPr>
              <w:t xml:space="preserve">, </w:t>
            </w:r>
            <w:r>
              <w:rPr>
                <w:lang w:val="en-US"/>
              </w:rPr>
              <w:t xml:space="preserve">2021 QCCA 653, </w:t>
            </w:r>
            <w:r>
              <w:rPr>
                <w:lang w:val="en-CA"/>
              </w:rPr>
              <w:t xml:space="preserve">dated </w:t>
            </w:r>
            <w:r>
              <w:rPr>
                <w:lang w:val="en-US"/>
              </w:rPr>
              <w:t>April 23, 2021</w:t>
            </w:r>
            <w:r>
              <w:rPr>
                <w:lang w:val="en-CA"/>
              </w:rPr>
              <w:t xml:space="preserve"> is</w:t>
            </w:r>
            <w:r>
              <w:rPr>
                <w:lang w:val="en-US"/>
              </w:rPr>
              <w:t xml:space="preserve"> dismissed with costs. </w:t>
            </w:r>
          </w:p>
          <w:p w14:paraId="5F228FFB" w14:textId="77777777" w:rsidR="00FD1572" w:rsidRDefault="00FD1572">
            <w:pPr>
              <w:jc w:val="both"/>
              <w:rPr>
                <w:lang w:val="en-US"/>
              </w:rPr>
            </w:pPr>
          </w:p>
          <w:p w14:paraId="5F228FFC" w14:textId="77777777" w:rsidR="00FD1572" w:rsidRDefault="00661711">
            <w:pPr>
              <w:jc w:val="both"/>
              <w:rPr>
                <w:lang w:val="en-US"/>
              </w:rPr>
            </w:pPr>
            <w:r>
              <w:rPr>
                <w:lang w:val="en-US"/>
              </w:rPr>
              <w:lastRenderedPageBreak/>
              <w:t>The motion for an extension of time to serve the application for leave to appeal, filed by Groupe Vision New Look inc., is granted.</w:t>
            </w:r>
          </w:p>
          <w:p w14:paraId="5F228FFD" w14:textId="77777777" w:rsidR="00FD1572" w:rsidRDefault="00FD1572">
            <w:pPr>
              <w:jc w:val="both"/>
              <w:rPr>
                <w:lang w:val="en-US"/>
              </w:rPr>
            </w:pPr>
          </w:p>
          <w:p w14:paraId="5F228FFE" w14:textId="77777777" w:rsidR="00FD1572" w:rsidRDefault="00FD1572">
            <w:pPr>
              <w:jc w:val="both"/>
              <w:rPr>
                <w:lang w:val="en-US"/>
              </w:rPr>
            </w:pPr>
          </w:p>
          <w:p w14:paraId="5F228FFF" w14:textId="77777777" w:rsidR="00FD1572" w:rsidRDefault="00661711">
            <w:pPr>
              <w:jc w:val="both"/>
              <w:rPr>
                <w:lang w:val="en-US"/>
              </w:rPr>
            </w:pPr>
            <w:r>
              <w:rPr>
                <w:lang w:val="en-US"/>
              </w:rPr>
              <w:t xml:space="preserve">The application for leave to appeal, filed by </w:t>
            </w:r>
            <w:r>
              <w:rPr>
                <w:lang w:val="en-US"/>
              </w:rPr>
              <w:t xml:space="preserve">Groupe Vision New Look inc., </w:t>
            </w:r>
            <w:r>
              <w:rPr>
                <w:lang w:val="en-CA"/>
              </w:rPr>
              <w:t xml:space="preserve">from the judgment of the </w:t>
            </w:r>
            <w:r>
              <w:rPr>
                <w:lang w:val="en-US"/>
              </w:rPr>
              <w:t>Court of Appeal of Quebec (Montreal)</w:t>
            </w:r>
            <w:r>
              <w:rPr>
                <w:lang w:val="en-CA"/>
              </w:rPr>
              <w:t xml:space="preserve">, Numbers </w:t>
            </w:r>
            <w:r>
              <w:rPr>
                <w:lang w:val="en-US"/>
              </w:rPr>
              <w:t>500-09-028336-196, 500-09-028337-194 and 500-09-028338-192</w:t>
            </w:r>
            <w:r>
              <w:rPr>
                <w:lang w:val="en-CA"/>
              </w:rPr>
              <w:t xml:space="preserve">, </w:t>
            </w:r>
            <w:r>
              <w:rPr>
                <w:lang w:val="en-US"/>
              </w:rPr>
              <w:t xml:space="preserve">2021 QCCA 653, </w:t>
            </w:r>
            <w:r>
              <w:rPr>
                <w:lang w:val="en-CA"/>
              </w:rPr>
              <w:t xml:space="preserve">dated </w:t>
            </w:r>
            <w:r>
              <w:rPr>
                <w:lang w:val="en-US"/>
              </w:rPr>
              <w:t>April 23, 2021</w:t>
            </w:r>
            <w:r>
              <w:rPr>
                <w:lang w:val="en-CA"/>
              </w:rPr>
              <w:t xml:space="preserve"> </w:t>
            </w:r>
            <w:r>
              <w:rPr>
                <w:lang w:val="en-US"/>
              </w:rPr>
              <w:t xml:space="preserve">  is dismissed with costs.</w:t>
            </w:r>
          </w:p>
          <w:p w14:paraId="5F229000" w14:textId="77777777" w:rsidR="00FD1572" w:rsidRDefault="00FD1572">
            <w:pPr>
              <w:jc w:val="both"/>
              <w:rPr>
                <w:lang w:val="en-US"/>
              </w:rPr>
            </w:pPr>
          </w:p>
          <w:p w14:paraId="5F229001" w14:textId="77777777" w:rsidR="00FD1572" w:rsidRDefault="00FD1572">
            <w:pPr>
              <w:jc w:val="both"/>
              <w:rPr>
                <w:lang w:val="en-US"/>
              </w:rPr>
            </w:pPr>
          </w:p>
        </w:tc>
      </w:tr>
    </w:tbl>
    <w:p w14:paraId="5F229003" w14:textId="77777777" w:rsidR="00FD1572" w:rsidRDefault="00FD1572">
      <w:pPr>
        <w:rPr>
          <w:lang w:val="en-US"/>
        </w:rPr>
      </w:pPr>
    </w:p>
    <w:p w14:paraId="5F229004" w14:textId="77777777" w:rsidR="00FD1572" w:rsidRDefault="00FD1572">
      <w:pPr>
        <w:jc w:val="center"/>
        <w:rPr>
          <w:lang w:val="en-US"/>
        </w:rPr>
      </w:pPr>
    </w:p>
    <w:p w14:paraId="5F229005" w14:textId="77777777" w:rsidR="00FD1572" w:rsidRDefault="00FD1572">
      <w:pPr>
        <w:jc w:val="center"/>
        <w:rPr>
          <w:lang w:val="en-US"/>
        </w:rPr>
      </w:pPr>
    </w:p>
    <w:p w14:paraId="5F229006" w14:textId="77777777" w:rsidR="00FD1572" w:rsidRDefault="00FD1572">
      <w:pPr>
        <w:jc w:val="center"/>
        <w:rPr>
          <w:lang w:val="en-US"/>
        </w:rPr>
      </w:pPr>
    </w:p>
    <w:p w14:paraId="5F229007" w14:textId="77777777" w:rsidR="00FD1572" w:rsidRDefault="00661711">
      <w:pPr>
        <w:jc w:val="center"/>
        <w:rPr>
          <w:lang w:val="en-US"/>
        </w:rPr>
      </w:pPr>
      <w:r>
        <w:rPr>
          <w:lang w:val="en-US"/>
        </w:rPr>
        <w:t>J.C.S.C.</w:t>
      </w:r>
    </w:p>
    <w:p w14:paraId="5F229008" w14:textId="77777777" w:rsidR="00FD1572" w:rsidRDefault="00661711">
      <w:pPr>
        <w:jc w:val="center"/>
        <w:rPr>
          <w:lang w:val="en-US"/>
        </w:rPr>
      </w:pPr>
      <w:r>
        <w:rPr>
          <w:lang w:val="en-US"/>
        </w:rPr>
        <w:t>J.S.C.C.</w:t>
      </w:r>
    </w:p>
    <w:sectPr w:rsidR="00FD1572">
      <w:headerReference w:type="default" r:id="rId10"/>
      <w:headerReference w:type="first" r:id="rId11"/>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2900B" w14:textId="77777777" w:rsidR="00FD1572" w:rsidRDefault="00661711">
      <w:r>
        <w:separator/>
      </w:r>
    </w:p>
  </w:endnote>
  <w:endnote w:type="continuationSeparator" w:id="0">
    <w:p w14:paraId="5F22900C" w14:textId="77777777" w:rsidR="00FD1572" w:rsidRDefault="0066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29009" w14:textId="77777777" w:rsidR="00FD1572" w:rsidRDefault="00661711">
      <w:r>
        <w:separator/>
      </w:r>
    </w:p>
  </w:footnote>
  <w:footnote w:type="continuationSeparator" w:id="0">
    <w:p w14:paraId="5F22900A" w14:textId="77777777" w:rsidR="00FD1572" w:rsidRDefault="00661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2900D" w14:textId="77777777" w:rsidR="00FD1572" w:rsidRDefault="00661711">
    <w:pPr>
      <w:tabs>
        <w:tab w:val="center" w:pos="4680"/>
      </w:tabs>
      <w:jc w:val="center"/>
      <w:rPr>
        <w:szCs w:val="24"/>
      </w:rPr>
    </w:pPr>
    <w:r>
      <w:rPr>
        <w:szCs w:val="24"/>
      </w:rPr>
      <w:t xml:space="preserve">- </w:t>
    </w:r>
    <w:r>
      <w:rPr>
        <w:szCs w:val="24"/>
      </w:rPr>
      <w:fldChar w:fldCharType="begin"/>
    </w:r>
    <w:r>
      <w:rPr>
        <w:szCs w:val="24"/>
      </w:rPr>
      <w:instrText xml:space="preserve"> PAGE   \* MERGEFORMAT </w:instrText>
    </w:r>
    <w:r>
      <w:rPr>
        <w:szCs w:val="24"/>
      </w:rPr>
      <w:fldChar w:fldCharType="separate"/>
    </w:r>
    <w:r>
      <w:rPr>
        <w:noProof/>
        <w:szCs w:val="24"/>
      </w:rPr>
      <w:t>3</w:t>
    </w:r>
    <w:r>
      <w:rPr>
        <w:szCs w:val="24"/>
      </w:rPr>
      <w:fldChar w:fldCharType="end"/>
    </w:r>
    <w:r>
      <w:rPr>
        <w:szCs w:val="24"/>
      </w:rPr>
      <w:t xml:space="preserve"> -</w:t>
    </w:r>
  </w:p>
  <w:p w14:paraId="5F22900E" w14:textId="77777777" w:rsidR="00FD1572" w:rsidRDefault="00FD1572">
    <w:pPr>
      <w:rPr>
        <w:szCs w:val="24"/>
      </w:rPr>
    </w:pPr>
  </w:p>
  <w:p w14:paraId="5F22900F" w14:textId="77777777" w:rsidR="00FD1572" w:rsidRDefault="00FD1572">
    <w:pPr>
      <w:rPr>
        <w:szCs w:val="24"/>
      </w:rPr>
    </w:pPr>
  </w:p>
  <w:p w14:paraId="5F229010" w14:textId="77777777" w:rsidR="00FD1572" w:rsidRDefault="00661711">
    <w:pPr>
      <w:tabs>
        <w:tab w:val="right" w:pos="9360"/>
      </w:tabs>
      <w:jc w:val="right"/>
      <w:rPr>
        <w:szCs w:val="24"/>
      </w:rPr>
    </w:pPr>
    <w:r>
      <w:rPr>
        <w:szCs w:val="24"/>
      </w:rPr>
      <w:t>N</w:t>
    </w:r>
    <w:r>
      <w:rPr>
        <w:szCs w:val="24"/>
        <w:vertAlign w:val="superscript"/>
      </w:rPr>
      <w:t>o</w:t>
    </w:r>
    <w:r>
      <w:rPr>
        <w:szCs w:val="24"/>
      </w:rPr>
      <w:t xml:space="preserve"> </w:t>
    </w:r>
    <w:r>
      <w:t>39762</w:t>
    </w:r>
    <w:r>
      <w:rPr>
        <w:szCs w:val="24"/>
      </w:rPr>
      <w:t>     </w:t>
    </w:r>
  </w:p>
  <w:p w14:paraId="5F229011" w14:textId="77777777" w:rsidR="00FD1572" w:rsidRDefault="00FD1572">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73782"/>
      <w:lock w:val="sdtContentLocked"/>
      <w:showingPlcHdr/>
      <w:text/>
    </w:sdtPr>
    <w:sdtEndPr/>
    <w:sdtContent>
      <w:p w14:paraId="5F229012" w14:textId="77777777" w:rsidR="00FD1572" w:rsidRDefault="00FD1572"/>
      <w:p w14:paraId="5F229013" w14:textId="77777777" w:rsidR="00FD1572" w:rsidRDefault="00FD1572"/>
      <w:p w14:paraId="5F229014" w14:textId="77777777" w:rsidR="00FD1572" w:rsidRDefault="00FD1572"/>
      <w:p w14:paraId="5F229015" w14:textId="77777777" w:rsidR="00FD1572" w:rsidRDefault="00FD1572"/>
      <w:p w14:paraId="5F229016" w14:textId="77777777" w:rsidR="00FD1572" w:rsidRDefault="00FD1572"/>
      <w:p w14:paraId="5F229017" w14:textId="77777777" w:rsidR="00FD1572" w:rsidRDefault="00FD1572"/>
      <w:p w14:paraId="5F229018" w14:textId="77777777" w:rsidR="00FD1572" w:rsidRDefault="00FD1572"/>
      <w:p w14:paraId="5F229019" w14:textId="77777777" w:rsidR="00FD1572" w:rsidRDefault="00FD1572"/>
      <w:p w14:paraId="5F22901A" w14:textId="77777777" w:rsidR="00FD1572" w:rsidRDefault="00FD1572"/>
      <w:p w14:paraId="5F22901B" w14:textId="77777777" w:rsidR="00FD1572" w:rsidRDefault="00FD1572">
        <w:pPr>
          <w:pStyle w:val="Header"/>
        </w:pPr>
      </w:p>
      <w:p w14:paraId="5F22901C" w14:textId="77777777" w:rsidR="00FD1572" w:rsidRDefault="00661711">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hideSpellingErrors/>
  <w:hideGrammaticalErrors/>
  <w:trackRevision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72"/>
    <w:rsid w:val="00661711"/>
    <w:rsid w:val="00FD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F22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pPr>
      <w:jc w:val="center"/>
    </w:pPr>
  </w:style>
  <w:style w:type="character" w:customStyle="1" w:styleId="SCCLsocPartyChar">
    <w:name w:val="SCC.Lsoc.Party Char"/>
    <w:basedOn w:val="DefaultParagraphFont"/>
    <w:link w:val="SCCLsocParty"/>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pPr>
      <w:jc w:val="center"/>
    </w:pPr>
  </w:style>
  <w:style w:type="character" w:customStyle="1" w:styleId="SCCLsocPartyRoleChar">
    <w:name w:val="SCC.Lsoc.PartyRole Char"/>
    <w:basedOn w:val="DefaultParagraphFont"/>
    <w:link w:val="SCCLsocPartyRole"/>
    <w:rPr>
      <w:rFonts w:ascii="Times New Roman" w:eastAsiaTheme="minorHAnsi" w:hAnsi="Times New Roman"/>
      <w:sz w:val="24"/>
      <w:lang w:eastAsia="en-US"/>
    </w:rPr>
  </w:style>
  <w:style w:type="paragraph" w:customStyle="1" w:styleId="SCCLsocPrefix">
    <w:name w:val="SCC.Lsoc.Prefix"/>
    <w:basedOn w:val="Normal"/>
    <w:next w:val="Normal"/>
    <w:link w:val="SCCLsocPrefixChar"/>
    <w:rPr>
      <w:b/>
    </w:rPr>
  </w:style>
  <w:style w:type="character" w:customStyle="1" w:styleId="SCCLsocPrefixChar">
    <w:name w:val="SCC.Lsoc.Prefix Char"/>
    <w:basedOn w:val="DefaultParagraphFont"/>
    <w:link w:val="SCCLsocPrefix"/>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Pr>
      <w:rFonts w:cs="Times New Roman"/>
      <w:b/>
      <w:szCs w:val="24"/>
    </w:rPr>
  </w:style>
  <w:style w:type="character" w:customStyle="1" w:styleId="SCCLsocSubfileSeparatorChar">
    <w:name w:val="SCC.Lsoc.SubfileSeparator Char"/>
    <w:basedOn w:val="DefaultParagraphFont"/>
    <w:link w:val="SCCLsocSubfileSeparator"/>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pPr>
      <w:jc w:val="center"/>
    </w:pPr>
  </w:style>
  <w:style w:type="character" w:customStyle="1" w:styleId="SCCLsocVersusChar">
    <w:name w:val="SCC.Lsoc.Versus Char"/>
    <w:basedOn w:val="DefaultParagraphFont"/>
    <w:link w:val="SCCLsocVersus"/>
    <w:rPr>
      <w:rFonts w:ascii="Times New Roman" w:eastAsiaTheme="minorHAnsi" w:hAnsi="Times New Roman"/>
      <w:sz w:val="24"/>
      <w:lang w:eastAsia="en-US"/>
    </w:rPr>
  </w:style>
  <w:style w:type="paragraph" w:styleId="NoSpacing">
    <w:name w:val="No Spacing"/>
    <w:uiPriority w:val="1"/>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Karakatsanis, Côté, Rowe</AuthorContributor>
    <FolderNameEn xmlns="40ae4924-d04e-473c-aafa-3657aad971d6">Leave Application - Judgment on Leave Application</FolderNameEn>
    <Case xmlns="40ae4924-d04e-473c-aafa-3657aad971d6">14191</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2022-01-20T05:00:00+00:00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55520-3263-470C-9315-DB8B52229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8F740-1919-4418-A52D-E1F76F2D2994}">
  <ds:schemaRefs>
    <ds:schemaRef ds:uri="http://schemas.microsoft.com/sharepoint/v3/contenttype/forms"/>
  </ds:schemaRefs>
</ds:datastoreItem>
</file>

<file path=customXml/itemProps3.xml><?xml version="1.0" encoding="utf-8"?>
<ds:datastoreItem xmlns:ds="http://schemas.openxmlformats.org/officeDocument/2006/customXml" ds:itemID="{BCDDBE01-0F62-4D1E-B666-F98C86B0C5DC}">
  <ds:schemaRefs>
    <ds:schemaRef ds:uri="http://schemas.microsoft.com/office/2006/metadata/properties"/>
    <ds:schemaRef ds:uri="http://schemas.microsoft.com/office/infopath/2007/PartnerControls"/>
    <ds:schemaRef ds:uri="40ae4924-d04e-473c-aafa-3657aad971d6"/>
  </ds:schemaRefs>
</ds:datastoreItem>
</file>

<file path=customXml/itemProps4.xml><?xml version="1.0" encoding="utf-8"?>
<ds:datastoreItem xmlns:ds="http://schemas.openxmlformats.org/officeDocument/2006/customXml" ds:itemID="{6FE91229-B3A8-4E6B-B188-B22C7124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6403</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2022-01-14T19:33:00Z</dcterms:created>
  <dcterms:modified xsi:type="dcterms:W3CDTF">2022-01-14T19:33:00Z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