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086B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39984</w:t>
      </w:r>
      <w:r w:rsidR="00E81C0B" w:rsidRPr="001E26DB">
        <w:t>     </w:t>
      </w:r>
    </w:p>
    <w:p w14:paraId="380E086C" w14:textId="77777777" w:rsidR="009F436C" w:rsidRPr="001E26DB" w:rsidRDefault="009F436C" w:rsidP="00382FEC"/>
    <w:p w14:paraId="380E086D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380E0871" w14:textId="77777777" w:rsidTr="00B37A52">
        <w:tc>
          <w:tcPr>
            <w:tcW w:w="2269" w:type="pct"/>
          </w:tcPr>
          <w:p w14:paraId="380E086E" w14:textId="77777777" w:rsidR="00417FB7" w:rsidRPr="001E26DB" w:rsidRDefault="00295A47" w:rsidP="008262A3">
            <w:r>
              <w:t>Le 24</w:t>
            </w:r>
            <w:r w:rsidR="0062554E">
              <w:t xml:space="preserve"> mars 2022</w:t>
            </w:r>
          </w:p>
        </w:tc>
        <w:tc>
          <w:tcPr>
            <w:tcW w:w="381" w:type="pct"/>
          </w:tcPr>
          <w:p w14:paraId="380E086F" w14:textId="77777777" w:rsidR="00417FB7" w:rsidRPr="001E26DB" w:rsidRDefault="00417FB7" w:rsidP="00382FEC"/>
        </w:tc>
        <w:tc>
          <w:tcPr>
            <w:tcW w:w="2350" w:type="pct"/>
          </w:tcPr>
          <w:p w14:paraId="380E0870" w14:textId="77777777" w:rsidR="00417FB7" w:rsidRPr="001E26DB" w:rsidRDefault="00295A47" w:rsidP="0027081E">
            <w:pPr>
              <w:rPr>
                <w:lang w:val="en-CA"/>
              </w:rPr>
            </w:pPr>
            <w:r>
              <w:t>March 24</w:t>
            </w:r>
            <w:r w:rsidR="0062554E">
              <w:t>, 2022</w:t>
            </w:r>
          </w:p>
        </w:tc>
      </w:tr>
      <w:tr w:rsidR="00C2612E" w:rsidRPr="0062554E" w14:paraId="380E0875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380E0872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80E0873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0E0874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2025C0" w14:paraId="380E0894" w14:textId="77777777" w:rsidTr="006A1E6D">
        <w:tc>
          <w:tcPr>
            <w:tcW w:w="2269" w:type="pct"/>
          </w:tcPr>
          <w:p w14:paraId="380E0877" w14:textId="77777777" w:rsidR="00C864E3" w:rsidRDefault="00295A47">
            <w:pPr>
              <w:pStyle w:val="SCCLsocPrefix"/>
            </w:pPr>
            <w:r>
              <w:t>ENTRE :</w:t>
            </w:r>
          </w:p>
          <w:p w14:paraId="7610508D" w14:textId="77777777" w:rsidR="00236C49" w:rsidRPr="008A22DA" w:rsidRDefault="00236C49" w:rsidP="002025C0"/>
          <w:p w14:paraId="380E0878" w14:textId="0C7F36B0" w:rsidR="00C864E3" w:rsidRDefault="00295A47">
            <w:pPr>
              <w:pStyle w:val="SCCLsocParty"/>
            </w:pPr>
            <w:r>
              <w:t>Restaurants Canada, Rôtisseries St-Hubert Ltée, Société de recettes illimitées (anciennement dénommée Entreprises Cara Limitée), 9226-2443 Québec inc., Restaurant MacGeorge inc., Groupe TDL Corporation, 9073-0722 Québec inc., Restaurants McDonald du Canada Limitée</w:t>
            </w:r>
            <w:r w:rsidR="008A59D6">
              <w:t xml:space="preserve"> et</w:t>
            </w:r>
            <w:r>
              <w:t xml:space="preserve"> Services </w:t>
            </w:r>
            <w:r w:rsidR="008A59D6">
              <w:t>a</w:t>
            </w:r>
            <w:r>
              <w:t>limentaires A&amp;W du Canada inc.</w:t>
            </w:r>
            <w:r>
              <w:br/>
            </w:r>
          </w:p>
          <w:p w14:paraId="380E0879" w14:textId="0761ADF8" w:rsidR="00C864E3" w:rsidRDefault="00295A47">
            <w:pPr>
              <w:pStyle w:val="SCCLsocPartyRole"/>
            </w:pPr>
            <w:r>
              <w:t>Demande</w:t>
            </w:r>
            <w:r w:rsidR="008A59D6">
              <w:t>resse</w:t>
            </w:r>
            <w:r>
              <w:t>s</w:t>
            </w:r>
            <w:r>
              <w:br/>
            </w:r>
          </w:p>
          <w:p w14:paraId="380E087A" w14:textId="77777777" w:rsidR="00C864E3" w:rsidRDefault="00295A47">
            <w:pPr>
              <w:pStyle w:val="SCCLsocVersus"/>
            </w:pPr>
            <w:r>
              <w:t>- et -</w:t>
            </w:r>
          </w:p>
          <w:p w14:paraId="380E087B" w14:textId="77777777" w:rsidR="00C864E3" w:rsidRDefault="00C864E3"/>
          <w:p w14:paraId="380E087C" w14:textId="77777777" w:rsidR="00C864E3" w:rsidRDefault="00295A47">
            <w:pPr>
              <w:pStyle w:val="SCCLsocParty"/>
            </w:pPr>
            <w:r>
              <w:t>Ville de Montréal</w:t>
            </w:r>
            <w:r>
              <w:br/>
            </w:r>
          </w:p>
          <w:p w14:paraId="380E087D" w14:textId="77777777" w:rsidR="00C864E3" w:rsidRDefault="00295A47">
            <w:pPr>
              <w:pStyle w:val="SCCLsocPartyRole"/>
            </w:pPr>
            <w:r>
              <w:t>Intimée</w:t>
            </w:r>
          </w:p>
          <w:p w14:paraId="380E087E" w14:textId="77777777" w:rsidR="00C864E3" w:rsidRDefault="00C864E3"/>
          <w:p w14:paraId="380E087F" w14:textId="77777777" w:rsidR="00C864E3" w:rsidRDefault="00295A47">
            <w:pPr>
              <w:pStyle w:val="SCCLsocVersus"/>
            </w:pPr>
            <w:r>
              <w:t>- et -</w:t>
            </w:r>
          </w:p>
          <w:p w14:paraId="380E0880" w14:textId="77777777" w:rsidR="00C864E3" w:rsidRDefault="00C864E3"/>
          <w:p w14:paraId="380E0881" w14:textId="77777777" w:rsidR="00C864E3" w:rsidRDefault="00295A47">
            <w:pPr>
              <w:pStyle w:val="SCCLsocParty"/>
            </w:pPr>
            <w:r>
              <w:t>Procureur général du Québec</w:t>
            </w:r>
          </w:p>
          <w:p w14:paraId="380E0882" w14:textId="77777777" w:rsidR="00C864E3" w:rsidRDefault="00C864E3"/>
          <w:p w14:paraId="380E0883" w14:textId="77777777" w:rsidR="00C864E3" w:rsidRDefault="00295A47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14:paraId="380E0884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380E0886" w14:textId="77777777" w:rsidR="00C864E3" w:rsidRDefault="00295A47">
            <w:pPr>
              <w:pStyle w:val="SCCLsocPrefix"/>
              <w:rPr>
                <w:lang w:val="en-US"/>
              </w:rPr>
            </w:pPr>
            <w:r w:rsidRPr="00295A47">
              <w:rPr>
                <w:lang w:val="en-US"/>
              </w:rPr>
              <w:t>BETWEEN:</w:t>
            </w:r>
          </w:p>
          <w:p w14:paraId="6AEF1EF9" w14:textId="77777777" w:rsidR="00236C49" w:rsidRPr="008A22DA" w:rsidRDefault="00236C49" w:rsidP="002025C0">
            <w:pPr>
              <w:rPr>
                <w:lang w:val="en-US"/>
              </w:rPr>
            </w:pPr>
          </w:p>
          <w:p w14:paraId="380E0888" w14:textId="16D11944" w:rsidR="00C864E3" w:rsidRDefault="00295A47">
            <w:pPr>
              <w:pStyle w:val="SCCLsocParty"/>
              <w:rPr>
                <w:szCs w:val="24"/>
                <w:lang w:val="en-US"/>
              </w:rPr>
            </w:pPr>
            <w:r w:rsidRPr="00295A47">
              <w:rPr>
                <w:lang w:val="en-US"/>
              </w:rPr>
              <w:t>Restaurants Canada, St-Hubert Bar-B-Q Ltd., Recipe Unlimited Corporation (</w:t>
            </w:r>
            <w:r w:rsidR="006965EC" w:rsidRPr="006965EC">
              <w:rPr>
                <w:lang w:val="en-US"/>
              </w:rPr>
              <w:t>formerly Cara Operations Limited</w:t>
            </w:r>
            <w:r w:rsidRPr="00295A47">
              <w:rPr>
                <w:lang w:val="en-US"/>
              </w:rPr>
              <w:t>), 9226-2443 Québec inc., Restaurant MacGeorge inc., TDL Group Corp., 9073-0722 Québec inc., McDonald</w:t>
            </w:r>
            <w:r w:rsidR="008A59D6">
              <w:rPr>
                <w:lang w:val="en-US"/>
              </w:rPr>
              <w:t>’</w:t>
            </w:r>
            <w:r w:rsidRPr="00295A47">
              <w:rPr>
                <w:lang w:val="en-US"/>
              </w:rPr>
              <w:t>s Restaurant</w:t>
            </w:r>
            <w:r w:rsidR="008A59D6">
              <w:rPr>
                <w:lang w:val="en-US"/>
              </w:rPr>
              <w:t>s</w:t>
            </w:r>
            <w:r w:rsidRPr="00295A47">
              <w:rPr>
                <w:lang w:val="en-US"/>
              </w:rPr>
              <w:t xml:space="preserve"> of Canada Limited</w:t>
            </w:r>
            <w:r w:rsidR="008A59D6">
              <w:rPr>
                <w:lang w:val="en-US"/>
              </w:rPr>
              <w:t xml:space="preserve"> and</w:t>
            </w:r>
            <w:r w:rsidRPr="00295A47">
              <w:rPr>
                <w:lang w:val="en-US"/>
              </w:rPr>
              <w:t xml:space="preserve"> A&amp;W Food Services of Canada Inc.</w:t>
            </w:r>
            <w:r w:rsidRPr="00295A47">
              <w:rPr>
                <w:sz w:val="20"/>
                <w:lang w:val="en-US"/>
              </w:rPr>
              <w:br/>
            </w:r>
          </w:p>
          <w:p w14:paraId="58EDB4A7" w14:textId="77777777" w:rsidR="003572C6" w:rsidRPr="003572C6" w:rsidRDefault="003572C6" w:rsidP="003572C6">
            <w:pPr>
              <w:rPr>
                <w:lang w:val="en-US"/>
              </w:rPr>
            </w:pPr>
          </w:p>
          <w:p w14:paraId="380E0889" w14:textId="77777777" w:rsidR="00C864E3" w:rsidRDefault="00295A47">
            <w:pPr>
              <w:pStyle w:val="SCCLsocPartyRole"/>
            </w:pPr>
            <w:r>
              <w:t>Applicants</w:t>
            </w:r>
            <w:r>
              <w:br/>
            </w:r>
          </w:p>
          <w:p w14:paraId="380E088A" w14:textId="77777777" w:rsidR="00C864E3" w:rsidRDefault="00295A47">
            <w:pPr>
              <w:pStyle w:val="SCCLsocVersus"/>
            </w:pPr>
            <w:r>
              <w:t>- and -</w:t>
            </w:r>
          </w:p>
          <w:p w14:paraId="380E088B" w14:textId="77777777" w:rsidR="00C864E3" w:rsidRDefault="00C864E3"/>
          <w:p w14:paraId="380E088C" w14:textId="77777777" w:rsidR="00C864E3" w:rsidRDefault="00295A47">
            <w:pPr>
              <w:pStyle w:val="SCCLsocParty"/>
            </w:pPr>
            <w:r>
              <w:t>Ville de Montréal</w:t>
            </w:r>
            <w:r>
              <w:br/>
            </w:r>
          </w:p>
          <w:p w14:paraId="380E088D" w14:textId="77777777" w:rsidR="00C864E3" w:rsidRPr="008A22DA" w:rsidRDefault="00295A47">
            <w:pPr>
              <w:pStyle w:val="SCCLsocPartyRole"/>
              <w:rPr>
                <w:lang w:val="en-US"/>
              </w:rPr>
            </w:pPr>
            <w:r w:rsidRPr="008A22DA">
              <w:rPr>
                <w:lang w:val="en-US"/>
              </w:rPr>
              <w:t>Respondent</w:t>
            </w:r>
          </w:p>
          <w:p w14:paraId="380E088E" w14:textId="77777777" w:rsidR="00C864E3" w:rsidRPr="008A22DA" w:rsidRDefault="00C864E3">
            <w:pPr>
              <w:rPr>
                <w:lang w:val="en-US"/>
              </w:rPr>
            </w:pPr>
          </w:p>
          <w:p w14:paraId="380E088F" w14:textId="77777777" w:rsidR="00C864E3" w:rsidRPr="008A22DA" w:rsidRDefault="00295A47">
            <w:pPr>
              <w:pStyle w:val="SCCLsocVersus"/>
              <w:rPr>
                <w:lang w:val="en-US"/>
              </w:rPr>
            </w:pPr>
            <w:r w:rsidRPr="008A22DA">
              <w:rPr>
                <w:lang w:val="en-US"/>
              </w:rPr>
              <w:t>- and -</w:t>
            </w:r>
          </w:p>
          <w:p w14:paraId="380E0890" w14:textId="77777777" w:rsidR="00C864E3" w:rsidRPr="008A22DA" w:rsidRDefault="00C864E3">
            <w:pPr>
              <w:rPr>
                <w:lang w:val="en-US"/>
              </w:rPr>
            </w:pPr>
          </w:p>
          <w:p w14:paraId="380E0891" w14:textId="6EC30670" w:rsidR="00C864E3" w:rsidRPr="008A22DA" w:rsidRDefault="00481CDC">
            <w:pPr>
              <w:pStyle w:val="SCCLsocParty"/>
              <w:rPr>
                <w:lang w:val="en-US"/>
              </w:rPr>
            </w:pPr>
            <w:r w:rsidRPr="008A22DA">
              <w:rPr>
                <w:lang w:val="en-US"/>
              </w:rPr>
              <w:t>Attorney General of Quebec</w:t>
            </w:r>
          </w:p>
          <w:p w14:paraId="380E0892" w14:textId="77777777" w:rsidR="00C864E3" w:rsidRPr="008A22DA" w:rsidRDefault="00C864E3">
            <w:pPr>
              <w:rPr>
                <w:lang w:val="en-US"/>
              </w:rPr>
            </w:pPr>
          </w:p>
          <w:p w14:paraId="380E0893" w14:textId="77777777" w:rsidR="00C864E3" w:rsidRPr="002025C0" w:rsidRDefault="00295A47">
            <w:pPr>
              <w:pStyle w:val="SCCLsocPartyRole"/>
              <w:rPr>
                <w:lang w:val="en-US"/>
              </w:rPr>
            </w:pPr>
            <w:r w:rsidRPr="002025C0">
              <w:rPr>
                <w:lang w:val="en-US"/>
              </w:rPr>
              <w:t>Intervener</w:t>
            </w:r>
          </w:p>
        </w:tc>
      </w:tr>
      <w:tr w:rsidR="00824412" w:rsidRPr="002025C0" w14:paraId="380E0898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380E0895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80E089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0E0897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2025C0" w14:paraId="380E08A4" w14:textId="77777777" w:rsidTr="00B37A52">
        <w:tc>
          <w:tcPr>
            <w:tcW w:w="2269" w:type="pct"/>
          </w:tcPr>
          <w:p w14:paraId="380E0899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80E089A" w14:textId="77777777" w:rsidR="0027081E" w:rsidRPr="001E26DB" w:rsidRDefault="0027081E" w:rsidP="0027081E">
            <w:pPr>
              <w:jc w:val="center"/>
            </w:pPr>
          </w:p>
          <w:p w14:paraId="380E089B" w14:textId="4CE25EB6" w:rsidR="00622562" w:rsidRDefault="0027081E" w:rsidP="00D27D4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>
              <w:t xml:space="preserve"> 500-09-028712-198</w:t>
            </w:r>
            <w:r w:rsidRPr="001E26DB">
              <w:t xml:space="preserve">, </w:t>
            </w:r>
            <w:r w:rsidR="00236C49">
              <w:lastRenderedPageBreak/>
              <w:t xml:space="preserve">2021 QCCA 1639, </w:t>
            </w:r>
            <w:r w:rsidRPr="001E26DB">
              <w:t xml:space="preserve">daté du </w:t>
            </w:r>
            <w:r>
              <w:t>2 novembre 2021</w:t>
            </w:r>
            <w:r w:rsidRPr="001E26DB">
              <w:t xml:space="preserve">, est </w:t>
            </w:r>
            <w:r w:rsidR="00295A47">
              <w:t>rejetée</w:t>
            </w:r>
            <w:r w:rsidRPr="001E26DB">
              <w:t>.</w:t>
            </w:r>
          </w:p>
          <w:p w14:paraId="380E089C" w14:textId="77777777" w:rsidR="00295A47" w:rsidRDefault="00295A47" w:rsidP="00D27D4E">
            <w:pPr>
              <w:jc w:val="both"/>
            </w:pPr>
          </w:p>
          <w:p w14:paraId="380E089D" w14:textId="77777777" w:rsidR="00295A47" w:rsidRPr="001E26DB" w:rsidRDefault="00295A47" w:rsidP="00D27D4E">
            <w:pPr>
              <w:jc w:val="both"/>
            </w:pPr>
            <w:r>
              <w:t>La juge Côté n’a pas participé au jugement.</w:t>
            </w:r>
          </w:p>
        </w:tc>
        <w:tc>
          <w:tcPr>
            <w:tcW w:w="381" w:type="pct"/>
          </w:tcPr>
          <w:p w14:paraId="380E089E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80E089F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380E08A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80E08A1" w14:textId="0FFE9175" w:rsidR="0062256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295A47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 w:rsidRPr="00295A47">
              <w:rPr>
                <w:lang w:val="en-US"/>
              </w:rPr>
              <w:t xml:space="preserve"> 500-09-028712-198</w:t>
            </w:r>
            <w:r w:rsidRPr="001E26DB">
              <w:rPr>
                <w:lang w:val="en-CA"/>
              </w:rPr>
              <w:t>,</w:t>
            </w:r>
            <w:r w:rsidR="00236C49">
              <w:rPr>
                <w:lang w:val="en-CA"/>
              </w:rPr>
              <w:t xml:space="preserve"> </w:t>
            </w:r>
            <w:r w:rsidR="00236C49" w:rsidRPr="00295A47">
              <w:rPr>
                <w:lang w:val="en-US"/>
              </w:rPr>
              <w:lastRenderedPageBreak/>
              <w:t>2021 QCCA 1639</w:t>
            </w:r>
            <w:r w:rsidR="00236C49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dated </w:t>
            </w:r>
            <w:r w:rsidRPr="00295A47">
              <w:rPr>
                <w:lang w:val="en-US"/>
              </w:rPr>
              <w:t>November 2, 2021</w:t>
            </w:r>
            <w:r w:rsidR="00EC774F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295A47">
              <w:rPr>
                <w:lang w:val="en-CA"/>
              </w:rPr>
              <w:t xml:space="preserve"> 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80E08A2" w14:textId="77777777" w:rsidR="00295A47" w:rsidRDefault="00295A47" w:rsidP="006C1359">
            <w:pPr>
              <w:jc w:val="both"/>
              <w:rPr>
                <w:lang w:val="en-CA"/>
              </w:rPr>
            </w:pPr>
          </w:p>
          <w:p w14:paraId="380E08A3" w14:textId="341EFF3C" w:rsidR="00295A47" w:rsidRPr="00295A47" w:rsidRDefault="00295A47" w:rsidP="006C1359">
            <w:pPr>
              <w:jc w:val="both"/>
              <w:rPr>
                <w:lang w:val="en-US"/>
              </w:rPr>
            </w:pPr>
            <w:r w:rsidRPr="00295A47">
              <w:rPr>
                <w:lang w:val="en-US"/>
              </w:rPr>
              <w:t>Côté J. took no pa</w:t>
            </w:r>
            <w:r>
              <w:rPr>
                <w:lang w:val="en-US"/>
              </w:rPr>
              <w:t>rt in the judgment.</w:t>
            </w:r>
          </w:p>
        </w:tc>
      </w:tr>
    </w:tbl>
    <w:p w14:paraId="380E08A5" w14:textId="77777777" w:rsidR="009F436C" w:rsidRPr="00295A47" w:rsidRDefault="009F436C" w:rsidP="00382FEC">
      <w:pPr>
        <w:rPr>
          <w:lang w:val="en-US"/>
        </w:rPr>
      </w:pPr>
    </w:p>
    <w:p w14:paraId="380E08A6" w14:textId="77777777" w:rsidR="009F436C" w:rsidRPr="00295A47" w:rsidRDefault="009F436C" w:rsidP="00417FB7">
      <w:pPr>
        <w:jc w:val="center"/>
        <w:rPr>
          <w:lang w:val="en-US"/>
        </w:rPr>
      </w:pPr>
    </w:p>
    <w:p w14:paraId="380E08A7" w14:textId="77777777" w:rsidR="009F436C" w:rsidRPr="00295A47" w:rsidRDefault="009F436C" w:rsidP="00417FB7">
      <w:pPr>
        <w:jc w:val="center"/>
        <w:rPr>
          <w:lang w:val="en-US"/>
        </w:rPr>
      </w:pPr>
    </w:p>
    <w:p w14:paraId="380E08A8" w14:textId="77777777" w:rsidR="00655333" w:rsidRPr="00295A47" w:rsidRDefault="00655333" w:rsidP="00655333">
      <w:pPr>
        <w:jc w:val="center"/>
        <w:rPr>
          <w:lang w:val="en-US"/>
        </w:rPr>
      </w:pPr>
    </w:p>
    <w:p w14:paraId="380E08A9" w14:textId="77777777" w:rsidR="00295A47" w:rsidRPr="00295A47" w:rsidRDefault="00295A47" w:rsidP="00655333">
      <w:pPr>
        <w:jc w:val="center"/>
        <w:rPr>
          <w:lang w:val="en-US"/>
        </w:rPr>
      </w:pPr>
    </w:p>
    <w:p w14:paraId="380E08AA" w14:textId="77777777" w:rsidR="00655333" w:rsidRPr="00295A47" w:rsidRDefault="00655333" w:rsidP="00655333">
      <w:pPr>
        <w:jc w:val="center"/>
        <w:rPr>
          <w:lang w:val="en-US"/>
        </w:rPr>
      </w:pPr>
    </w:p>
    <w:p w14:paraId="380E08AB" w14:textId="77777777" w:rsidR="00655333" w:rsidRPr="00295A47" w:rsidRDefault="00655333" w:rsidP="00655333">
      <w:pPr>
        <w:jc w:val="center"/>
      </w:pPr>
      <w:r w:rsidRPr="00295A47">
        <w:t>J.C.S.C.</w:t>
      </w:r>
    </w:p>
    <w:p w14:paraId="380E08AC" w14:textId="77777777" w:rsidR="009F436C" w:rsidRPr="00295A47" w:rsidRDefault="00655333" w:rsidP="00655333">
      <w:pPr>
        <w:jc w:val="center"/>
      </w:pPr>
      <w:r w:rsidRPr="00295A47">
        <w:t>J.S.C.C.</w:t>
      </w:r>
    </w:p>
    <w:p w14:paraId="380E08AD" w14:textId="77777777" w:rsidR="009F436C" w:rsidRPr="00295A47" w:rsidRDefault="009F436C" w:rsidP="00295A47">
      <w:pPr>
        <w:spacing w:after="200" w:line="276" w:lineRule="auto"/>
      </w:pPr>
    </w:p>
    <w:sectPr w:rsidR="009F436C" w:rsidRPr="00295A47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E08B0" w14:textId="77777777" w:rsidR="00D27D4E" w:rsidRDefault="00D27D4E">
      <w:r>
        <w:separator/>
      </w:r>
    </w:p>
  </w:endnote>
  <w:endnote w:type="continuationSeparator" w:id="0">
    <w:p w14:paraId="380E08B1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08AE" w14:textId="77777777" w:rsidR="00D27D4E" w:rsidRDefault="00D27D4E">
      <w:r>
        <w:separator/>
      </w:r>
    </w:p>
  </w:footnote>
  <w:footnote w:type="continuationSeparator" w:id="0">
    <w:p w14:paraId="380E08AF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08B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F18C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0E08B3" w14:textId="77777777" w:rsidR="00401B64" w:rsidRDefault="00401B64" w:rsidP="00401B64">
    <w:pPr>
      <w:rPr>
        <w:szCs w:val="24"/>
      </w:rPr>
    </w:pPr>
  </w:p>
  <w:p w14:paraId="380E08B4" w14:textId="77777777" w:rsidR="00401B64" w:rsidRDefault="00401B64" w:rsidP="00401B64">
    <w:pPr>
      <w:rPr>
        <w:szCs w:val="24"/>
      </w:rPr>
    </w:pPr>
  </w:p>
  <w:p w14:paraId="380E08B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39984</w:t>
    </w:r>
    <w:r w:rsidR="00401B64">
      <w:rPr>
        <w:szCs w:val="24"/>
      </w:rPr>
      <w:t>     </w:t>
    </w:r>
  </w:p>
  <w:p w14:paraId="380E08B6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380E08B7" w14:textId="77777777" w:rsidR="000452C9" w:rsidRDefault="000452C9" w:rsidP="000452C9"/>
      <w:p w14:paraId="380E08B8" w14:textId="77777777" w:rsidR="000452C9" w:rsidRPr="001E26DB" w:rsidRDefault="000452C9" w:rsidP="000452C9"/>
      <w:p w14:paraId="380E08B9" w14:textId="77777777" w:rsidR="000452C9" w:rsidRPr="001E26DB" w:rsidRDefault="000452C9" w:rsidP="000452C9"/>
      <w:p w14:paraId="380E08BA" w14:textId="77777777" w:rsidR="000452C9" w:rsidRDefault="000452C9" w:rsidP="000452C9"/>
      <w:p w14:paraId="380E08BB" w14:textId="77777777" w:rsidR="000452C9" w:rsidRDefault="000452C9" w:rsidP="000452C9"/>
      <w:p w14:paraId="380E08BC" w14:textId="77777777" w:rsidR="000452C9" w:rsidRDefault="000452C9" w:rsidP="000452C9"/>
      <w:p w14:paraId="380E08BD" w14:textId="77777777" w:rsidR="000452C9" w:rsidRDefault="000452C9" w:rsidP="000452C9"/>
      <w:p w14:paraId="380E08BE" w14:textId="77777777" w:rsidR="000452C9" w:rsidRPr="001E26DB" w:rsidRDefault="000452C9" w:rsidP="000452C9"/>
      <w:p w14:paraId="380E08BF" w14:textId="77777777" w:rsidR="000452C9" w:rsidRPr="001E26DB" w:rsidRDefault="000452C9" w:rsidP="000452C9"/>
      <w:p w14:paraId="380E08C0" w14:textId="77777777" w:rsidR="000452C9" w:rsidRDefault="000452C9" w:rsidP="000452C9">
        <w:pPr>
          <w:pStyle w:val="Header"/>
        </w:pPr>
      </w:p>
      <w:p w14:paraId="380E08C1" w14:textId="77777777" w:rsidR="001D6D96" w:rsidRPr="000452C9" w:rsidRDefault="00EF18C8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123A7"/>
    <w:rsid w:val="00130C0B"/>
    <w:rsid w:val="0019299E"/>
    <w:rsid w:val="00192F31"/>
    <w:rsid w:val="001947C4"/>
    <w:rsid w:val="00195E00"/>
    <w:rsid w:val="001A1CE1"/>
    <w:rsid w:val="001D0116"/>
    <w:rsid w:val="001D4323"/>
    <w:rsid w:val="001D6D96"/>
    <w:rsid w:val="001E26DB"/>
    <w:rsid w:val="002025C0"/>
    <w:rsid w:val="002030E6"/>
    <w:rsid w:val="00203642"/>
    <w:rsid w:val="00215653"/>
    <w:rsid w:val="00236C49"/>
    <w:rsid w:val="0027081E"/>
    <w:rsid w:val="00295A47"/>
    <w:rsid w:val="002B5FA6"/>
    <w:rsid w:val="002C29B6"/>
    <w:rsid w:val="0031097F"/>
    <w:rsid w:val="0031165C"/>
    <w:rsid w:val="00311ACE"/>
    <w:rsid w:val="003174AD"/>
    <w:rsid w:val="003572C6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81CDC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965EC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22DA"/>
    <w:rsid w:val="008A59D6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864E3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0B37"/>
    <w:rsid w:val="00E777AD"/>
    <w:rsid w:val="00E81C0B"/>
    <w:rsid w:val="00EA4B61"/>
    <w:rsid w:val="00EC774F"/>
    <w:rsid w:val="00EF18C8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80E086B"/>
  <w15:docId w15:val="{12510406-2EF5-4FB9-AF45-553D75B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2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4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2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Rowe, Jamal</AuthorContributor>
    <FolderNameEn xmlns="40ae4924-d04e-473c-aafa-3657aad971d6">Leave Application - Judgment on Leave Application</FolderNameEn>
    <Case xmlns="40ae4924-d04e-473c-aafa-3657aad971d6">14415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B8DF8-A3C9-4F99-B72E-BB54E62DB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4F4A5-AD76-4D08-A9F5-D0AD3BA697D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0683615F-4B27-4D05-B460-BF413D85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Carrière Caroline</dc:creator>
  <cp:keywords/>
  <dc:description/>
  <cp:lastModifiedBy>Carrière Caroline</cp:lastModifiedBy>
  <cp:revision>2</cp:revision>
  <dcterms:created xsi:type="dcterms:W3CDTF">2022-03-22T14:21:00Z</dcterms:created>
  <dcterms:modified xsi:type="dcterms:W3CDTF">2022-03-22T14:21:00Z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