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73DB6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39935</w:t>
      </w:r>
      <w:r w:rsidR="00E81C0B" w:rsidRPr="001E26DB">
        <w:t>     </w:t>
      </w:r>
    </w:p>
    <w:bookmarkEnd w:id="0"/>
    <w:p w14:paraId="35373DB7" w14:textId="77777777" w:rsidR="009F436C" w:rsidRPr="001E26DB" w:rsidRDefault="009F436C" w:rsidP="00382FEC"/>
    <w:p w14:paraId="35373DB8" w14:textId="77777777" w:rsidR="003C744C" w:rsidRPr="001E26DB" w:rsidRDefault="003C744C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62554E" w14:paraId="35373DBC" w14:textId="77777777" w:rsidTr="00E77228">
        <w:tc>
          <w:tcPr>
            <w:tcW w:w="2314" w:type="pct"/>
          </w:tcPr>
          <w:p w14:paraId="35373DB9" w14:textId="77777777" w:rsidR="00417FB7" w:rsidRPr="001E26DB" w:rsidRDefault="00B26497" w:rsidP="008262A3">
            <w:r>
              <w:t>Le 26</w:t>
            </w:r>
            <w:r w:rsidR="0062554E">
              <w:t xml:space="preserve"> mai 2022</w:t>
            </w:r>
          </w:p>
        </w:tc>
        <w:tc>
          <w:tcPr>
            <w:tcW w:w="388" w:type="pct"/>
          </w:tcPr>
          <w:p w14:paraId="35373DBA" w14:textId="77777777" w:rsidR="00417FB7" w:rsidRPr="001E26DB" w:rsidRDefault="00417FB7" w:rsidP="00382FEC"/>
        </w:tc>
        <w:tc>
          <w:tcPr>
            <w:tcW w:w="2298" w:type="pct"/>
          </w:tcPr>
          <w:p w14:paraId="35373DBB" w14:textId="77777777" w:rsidR="00417FB7" w:rsidRPr="001E26DB" w:rsidRDefault="00B26497" w:rsidP="0027081E">
            <w:pPr>
              <w:rPr>
                <w:lang w:val="en-CA"/>
              </w:rPr>
            </w:pPr>
            <w:r>
              <w:t>May 26</w:t>
            </w:r>
            <w:r w:rsidR="0062554E">
              <w:t>, 2022</w:t>
            </w:r>
          </w:p>
        </w:tc>
      </w:tr>
      <w:tr w:rsidR="00C2612E" w:rsidRPr="0062554E" w14:paraId="35373DC0" w14:textId="77777777" w:rsidTr="00E77228">
        <w:tc>
          <w:tcPr>
            <w:tcW w:w="2314" w:type="pct"/>
            <w:tcMar>
              <w:top w:w="0" w:type="dxa"/>
              <w:bottom w:w="0" w:type="dxa"/>
            </w:tcMar>
          </w:tcPr>
          <w:p w14:paraId="35373DB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35373DB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35373DB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5373DD2" w14:textId="77777777" w:rsidTr="00E77228">
        <w:tc>
          <w:tcPr>
            <w:tcW w:w="2314" w:type="pct"/>
          </w:tcPr>
          <w:p w14:paraId="35373DC1" w14:textId="77777777" w:rsidR="00C714D6" w:rsidRDefault="00C714D6"/>
          <w:p w14:paraId="35373DC2" w14:textId="77777777" w:rsidR="00C714D6" w:rsidRDefault="00B26497">
            <w:pPr>
              <w:pStyle w:val="SCCLsocPrefix"/>
            </w:pPr>
            <w:r>
              <w:t>ENTRE :</w:t>
            </w:r>
          </w:p>
          <w:p w14:paraId="5C416CF2" w14:textId="77777777" w:rsidR="00830F58" w:rsidRPr="00E77228" w:rsidRDefault="00830F58" w:rsidP="00E77228"/>
          <w:p w14:paraId="35373DC3" w14:textId="7E59B248" w:rsidR="00C714D6" w:rsidRDefault="00B26497">
            <w:pPr>
              <w:pStyle w:val="SCCLsocParty"/>
            </w:pPr>
            <w:r>
              <w:t>Sa Majesté la Reine</w:t>
            </w:r>
            <w:r w:rsidR="00A03F44">
              <w:t xml:space="preserve"> et p</w:t>
            </w:r>
            <w:r>
              <w:t>rocureur général du Québec</w:t>
            </w:r>
            <w:r>
              <w:br/>
            </w:r>
          </w:p>
          <w:p w14:paraId="35373DC4" w14:textId="52195D81" w:rsidR="00C714D6" w:rsidRDefault="00B26497">
            <w:pPr>
              <w:pStyle w:val="SCCLsocPartyRole"/>
            </w:pPr>
            <w:r>
              <w:t>Demandeur</w:t>
            </w:r>
            <w:r w:rsidR="00A03F44">
              <w:t>s</w:t>
            </w:r>
            <w:r>
              <w:br/>
            </w:r>
          </w:p>
          <w:p w14:paraId="35373DC5" w14:textId="77777777" w:rsidR="00C714D6" w:rsidRDefault="00B26497">
            <w:pPr>
              <w:pStyle w:val="SCCLsocVersus"/>
            </w:pPr>
            <w:r>
              <w:t>- et -</w:t>
            </w:r>
          </w:p>
          <w:p w14:paraId="35373DC6" w14:textId="77777777" w:rsidR="00C714D6" w:rsidRDefault="00C714D6"/>
          <w:p w14:paraId="35373DC7" w14:textId="77777777" w:rsidR="00C714D6" w:rsidRDefault="00B26497">
            <w:pPr>
              <w:pStyle w:val="SCCLsocParty"/>
            </w:pPr>
            <w:r>
              <w:t>Maxime Bertrand Marchand</w:t>
            </w:r>
            <w:r>
              <w:br/>
            </w:r>
          </w:p>
          <w:p w14:paraId="35373DC8" w14:textId="322506B0" w:rsidR="00C714D6" w:rsidRDefault="00B26497">
            <w:pPr>
              <w:pStyle w:val="SCCLsocPartyRole"/>
            </w:pPr>
            <w:r>
              <w:t>Intimé</w:t>
            </w:r>
          </w:p>
        </w:tc>
        <w:tc>
          <w:tcPr>
            <w:tcW w:w="388" w:type="pct"/>
          </w:tcPr>
          <w:p w14:paraId="35373DC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</w:tcPr>
          <w:p w14:paraId="35373DCA" w14:textId="77777777" w:rsidR="00C714D6" w:rsidRPr="00B26497" w:rsidRDefault="00C714D6">
            <w:pPr>
              <w:rPr>
                <w:lang w:val="en-US"/>
              </w:rPr>
            </w:pPr>
          </w:p>
          <w:p w14:paraId="35373DCB" w14:textId="77777777" w:rsidR="00C714D6" w:rsidRDefault="00B26497">
            <w:pPr>
              <w:pStyle w:val="SCCLsocPrefix"/>
              <w:rPr>
                <w:lang w:val="en-US"/>
              </w:rPr>
            </w:pPr>
            <w:r w:rsidRPr="00B26497">
              <w:rPr>
                <w:lang w:val="en-US"/>
              </w:rPr>
              <w:t>BETWEEN:</w:t>
            </w:r>
          </w:p>
          <w:p w14:paraId="54FD6CB6" w14:textId="77777777" w:rsidR="00830F58" w:rsidRPr="00E77228" w:rsidRDefault="00830F58" w:rsidP="00E77228">
            <w:pPr>
              <w:rPr>
                <w:lang w:val="en-US"/>
              </w:rPr>
            </w:pPr>
          </w:p>
          <w:p w14:paraId="35373DCC" w14:textId="517E6C32" w:rsidR="00C714D6" w:rsidRPr="00B26497" w:rsidRDefault="00B26497">
            <w:pPr>
              <w:pStyle w:val="SCCLsocParty"/>
              <w:rPr>
                <w:lang w:val="en-US"/>
              </w:rPr>
            </w:pPr>
            <w:r w:rsidRPr="00B26497">
              <w:rPr>
                <w:lang w:val="en-US"/>
              </w:rPr>
              <w:t>Her Majesty the Queen</w:t>
            </w:r>
            <w:r w:rsidR="00A03F44">
              <w:rPr>
                <w:lang w:val="en-US"/>
              </w:rPr>
              <w:t xml:space="preserve"> and </w:t>
            </w:r>
            <w:r w:rsidRPr="00B26497">
              <w:rPr>
                <w:lang w:val="en-US"/>
              </w:rPr>
              <w:t>Attorney General of Quebec</w:t>
            </w:r>
            <w:r w:rsidRPr="00B26497">
              <w:rPr>
                <w:lang w:val="en-US"/>
              </w:rPr>
              <w:br/>
            </w:r>
          </w:p>
          <w:p w14:paraId="35373DCD" w14:textId="77777777" w:rsidR="00C714D6" w:rsidRDefault="00B26497">
            <w:pPr>
              <w:pStyle w:val="SCCLsocPartyRole"/>
            </w:pPr>
            <w:r>
              <w:t>Applicants</w:t>
            </w:r>
            <w:r>
              <w:br/>
            </w:r>
          </w:p>
          <w:p w14:paraId="35373DCE" w14:textId="77777777" w:rsidR="00C714D6" w:rsidRDefault="00B26497">
            <w:pPr>
              <w:pStyle w:val="SCCLsocVersus"/>
            </w:pPr>
            <w:r>
              <w:t>- and -</w:t>
            </w:r>
          </w:p>
          <w:p w14:paraId="35373DCF" w14:textId="77777777" w:rsidR="00C714D6" w:rsidRDefault="00C714D6"/>
          <w:p w14:paraId="35373DD0" w14:textId="77777777" w:rsidR="00C714D6" w:rsidRDefault="00B26497">
            <w:pPr>
              <w:pStyle w:val="SCCLsocParty"/>
            </w:pPr>
            <w:r>
              <w:t>Maxime Bertrand Marchand</w:t>
            </w:r>
            <w:r>
              <w:br/>
            </w:r>
          </w:p>
          <w:p w14:paraId="35373DD1" w14:textId="77777777" w:rsidR="00C714D6" w:rsidRDefault="00B2649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5373DD6" w14:textId="77777777" w:rsidTr="00E77228">
        <w:tc>
          <w:tcPr>
            <w:tcW w:w="2314" w:type="pct"/>
            <w:tcMar>
              <w:top w:w="0" w:type="dxa"/>
              <w:bottom w:w="0" w:type="dxa"/>
            </w:tcMar>
          </w:tcPr>
          <w:p w14:paraId="35373DD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35373DD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35373DD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77228" w14:paraId="35373DE3" w14:textId="77777777" w:rsidTr="00E77228">
        <w:tc>
          <w:tcPr>
            <w:tcW w:w="2314" w:type="pct"/>
          </w:tcPr>
          <w:p w14:paraId="35373DD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5373DD8" w14:textId="77777777" w:rsidR="0027081E" w:rsidRDefault="0027081E" w:rsidP="0027081E">
            <w:pPr>
              <w:jc w:val="center"/>
            </w:pPr>
          </w:p>
          <w:p w14:paraId="35373DD9" w14:textId="5F655AAB" w:rsidR="00824412" w:rsidRDefault="00B26497" w:rsidP="00B26497">
            <w:pPr>
              <w:jc w:val="both"/>
            </w:pPr>
            <w:r>
              <w:t xml:space="preserve">La requête en prorogation du délai de signification et de dépôt de la réponse </w:t>
            </w:r>
            <w:r w:rsidR="00B26EA5">
              <w:t>à</w:t>
            </w:r>
            <w:r>
              <w:t xml:space="preserve"> la demande d’autorisation d’appel</w:t>
            </w:r>
            <w:r w:rsidR="00B26EA5">
              <w:t xml:space="preserve"> est accueillie.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200-10-003751-208, 2021 QCCA 1285</w:t>
            </w:r>
            <w:r w:rsidR="0027081E" w:rsidRPr="001E26DB">
              <w:t xml:space="preserve">, daté du </w:t>
            </w:r>
            <w:r w:rsidR="0027081E">
              <w:t>24 août 2021</w:t>
            </w:r>
            <w:r w:rsidR="0027081E" w:rsidRPr="001E26DB">
              <w:t xml:space="preserve">, est </w:t>
            </w:r>
            <w:r>
              <w:t>accueill</w:t>
            </w:r>
            <w:r w:rsidR="00E77228">
              <w:t>i</w:t>
            </w:r>
            <w:r>
              <w:t xml:space="preserve">e. </w:t>
            </w:r>
          </w:p>
          <w:p w14:paraId="35373DDA" w14:textId="77777777" w:rsidR="00622562" w:rsidRDefault="00622562" w:rsidP="0027081E">
            <w:pPr>
              <w:jc w:val="both"/>
            </w:pPr>
          </w:p>
          <w:p w14:paraId="35373DD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8" w:type="pct"/>
          </w:tcPr>
          <w:p w14:paraId="35373DD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35373DD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5373DDE" w14:textId="77777777" w:rsidR="0027081E" w:rsidRDefault="0027081E" w:rsidP="0027081E">
            <w:pPr>
              <w:jc w:val="center"/>
              <w:rPr>
                <w:lang w:val="en-CA"/>
              </w:rPr>
            </w:pPr>
          </w:p>
          <w:p w14:paraId="35373DE0" w14:textId="636B97B7" w:rsidR="00824412" w:rsidRDefault="00B26497">
            <w:pPr>
              <w:jc w:val="both"/>
              <w:rPr>
                <w:lang w:val="en-CA"/>
              </w:rPr>
            </w:pPr>
            <w:r w:rsidRPr="00E77228">
              <w:rPr>
                <w:lang w:val="en-CA"/>
              </w:rPr>
              <w:t xml:space="preserve">The motion for an extension of time to serve and file the </w:t>
            </w:r>
            <w:r w:rsidR="00B26EA5">
              <w:rPr>
                <w:lang w:val="en-CA"/>
              </w:rPr>
              <w:t xml:space="preserve">response to the </w:t>
            </w:r>
            <w:r w:rsidRPr="00E77228">
              <w:rPr>
                <w:lang w:val="en-CA"/>
              </w:rPr>
              <w:t>application</w:t>
            </w:r>
            <w:r w:rsidR="00B26EA5">
              <w:rPr>
                <w:lang w:val="en-CA"/>
              </w:rPr>
              <w:t xml:space="preserve"> for leave to appeal is granted.</w:t>
            </w:r>
            <w:r w:rsidR="00E77228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26497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B26497">
              <w:rPr>
                <w:lang w:val="en-US"/>
              </w:rPr>
              <w:t>200-10-003751-208, 2021 QCCA 1285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B26497">
              <w:rPr>
                <w:lang w:val="en-US"/>
              </w:rPr>
              <w:t>August 24, 2021</w:t>
            </w:r>
            <w:r w:rsidR="00E77228">
              <w:rPr>
                <w:lang w:val="en-US"/>
              </w:rPr>
              <w:t>,</w:t>
            </w:r>
            <w:r>
              <w:rPr>
                <w:lang w:val="en-CA"/>
              </w:rPr>
              <w:t xml:space="preserve"> is granted. 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5373DE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5373DE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5373DE4" w14:textId="77777777" w:rsidR="009F436C" w:rsidRPr="002C29B6" w:rsidRDefault="009F436C" w:rsidP="00382FEC">
      <w:pPr>
        <w:rPr>
          <w:lang w:val="en-US"/>
        </w:rPr>
      </w:pPr>
    </w:p>
    <w:p w14:paraId="35373DE5" w14:textId="77777777" w:rsidR="009F436C" w:rsidRPr="002C29B6" w:rsidRDefault="009F436C" w:rsidP="00417FB7">
      <w:pPr>
        <w:jc w:val="center"/>
        <w:rPr>
          <w:lang w:val="en-US"/>
        </w:rPr>
      </w:pPr>
    </w:p>
    <w:p w14:paraId="35373DE6" w14:textId="77777777" w:rsidR="009F436C" w:rsidRPr="002C29B6" w:rsidRDefault="009F436C" w:rsidP="00417FB7">
      <w:pPr>
        <w:jc w:val="center"/>
        <w:rPr>
          <w:lang w:val="en-US"/>
        </w:rPr>
      </w:pPr>
    </w:p>
    <w:p w14:paraId="35373DE7" w14:textId="77777777" w:rsidR="00655333" w:rsidRPr="00B26497" w:rsidRDefault="00655333" w:rsidP="00655333">
      <w:pPr>
        <w:jc w:val="center"/>
        <w:rPr>
          <w:lang w:val="en-US"/>
        </w:rPr>
      </w:pPr>
      <w:r w:rsidRPr="00B26497">
        <w:rPr>
          <w:lang w:val="en-US"/>
        </w:rPr>
        <w:t>J.C.C.</w:t>
      </w:r>
    </w:p>
    <w:p w14:paraId="35373DE8" w14:textId="77777777" w:rsidR="00655333" w:rsidRPr="00B26497" w:rsidRDefault="00655333" w:rsidP="00655333">
      <w:pPr>
        <w:jc w:val="center"/>
        <w:rPr>
          <w:lang w:val="en-US"/>
        </w:rPr>
      </w:pPr>
      <w:r w:rsidRPr="00B26497">
        <w:rPr>
          <w:lang w:val="en-US"/>
        </w:rPr>
        <w:t>C.J.C.</w:t>
      </w:r>
    </w:p>
    <w:p w14:paraId="35373DE9" w14:textId="77777777" w:rsidR="00655333" w:rsidRPr="00B26497" w:rsidRDefault="00655333" w:rsidP="00655333">
      <w:pPr>
        <w:jc w:val="center"/>
        <w:rPr>
          <w:lang w:val="en-US"/>
        </w:rPr>
      </w:pPr>
    </w:p>
    <w:sectPr w:rsidR="00655333" w:rsidRPr="00B2649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73DEC" w14:textId="77777777" w:rsidR="00D27D4E" w:rsidRDefault="00D27D4E">
      <w:r>
        <w:separator/>
      </w:r>
    </w:p>
  </w:endnote>
  <w:endnote w:type="continuationSeparator" w:id="0">
    <w:p w14:paraId="35373DE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73DEA" w14:textId="77777777" w:rsidR="00D27D4E" w:rsidRDefault="00D27D4E">
      <w:r>
        <w:separator/>
      </w:r>
    </w:p>
  </w:footnote>
  <w:footnote w:type="continuationSeparator" w:id="0">
    <w:p w14:paraId="35373DE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73DE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26497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373DEF" w14:textId="77777777" w:rsidR="00401B64" w:rsidRDefault="00401B64" w:rsidP="00401B64">
    <w:pPr>
      <w:rPr>
        <w:szCs w:val="24"/>
      </w:rPr>
    </w:pPr>
  </w:p>
  <w:p w14:paraId="35373DF0" w14:textId="77777777" w:rsidR="00401B64" w:rsidRDefault="00401B64" w:rsidP="00401B64">
    <w:pPr>
      <w:rPr>
        <w:szCs w:val="24"/>
      </w:rPr>
    </w:pPr>
  </w:p>
  <w:p w14:paraId="35373DF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39935</w:t>
    </w:r>
    <w:r w:rsidR="00401B64">
      <w:rPr>
        <w:szCs w:val="24"/>
      </w:rPr>
      <w:t>     </w:t>
    </w:r>
  </w:p>
  <w:p w14:paraId="35373DF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5373DF3" w14:textId="77777777" w:rsidR="000452C9" w:rsidRDefault="000452C9" w:rsidP="000452C9"/>
      <w:p w14:paraId="35373DF4" w14:textId="77777777" w:rsidR="000452C9" w:rsidRPr="001E26DB" w:rsidRDefault="000452C9" w:rsidP="000452C9"/>
      <w:p w14:paraId="35373DF5" w14:textId="77777777" w:rsidR="000452C9" w:rsidRPr="001E26DB" w:rsidRDefault="000452C9" w:rsidP="000452C9"/>
      <w:p w14:paraId="35373DF6" w14:textId="77777777" w:rsidR="000452C9" w:rsidRDefault="000452C9" w:rsidP="000452C9"/>
      <w:p w14:paraId="35373DF7" w14:textId="77777777" w:rsidR="000452C9" w:rsidRDefault="000452C9" w:rsidP="000452C9"/>
      <w:p w14:paraId="35373DF8" w14:textId="77777777" w:rsidR="000452C9" w:rsidRDefault="000452C9" w:rsidP="000452C9"/>
      <w:p w14:paraId="35373DF9" w14:textId="77777777" w:rsidR="000452C9" w:rsidRDefault="000452C9" w:rsidP="000452C9"/>
      <w:p w14:paraId="35373DFA" w14:textId="77777777" w:rsidR="000452C9" w:rsidRPr="001E26DB" w:rsidRDefault="000452C9" w:rsidP="000452C9"/>
      <w:p w14:paraId="35373DFB" w14:textId="77777777" w:rsidR="000452C9" w:rsidRPr="001E26DB" w:rsidRDefault="000452C9" w:rsidP="000452C9"/>
      <w:p w14:paraId="35373DFC" w14:textId="77777777" w:rsidR="000452C9" w:rsidRDefault="000452C9" w:rsidP="000452C9">
        <w:pPr>
          <w:pStyle w:val="Header"/>
        </w:pPr>
      </w:p>
      <w:p w14:paraId="35373DFD" w14:textId="77777777" w:rsidR="001D6D96" w:rsidRPr="000452C9" w:rsidRDefault="00BC5A1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0F58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3F44"/>
    <w:rsid w:val="00A103E3"/>
    <w:rsid w:val="00A14904"/>
    <w:rsid w:val="00A15DFC"/>
    <w:rsid w:val="00A46E1B"/>
    <w:rsid w:val="00AB5E22"/>
    <w:rsid w:val="00AE2077"/>
    <w:rsid w:val="00AF1D29"/>
    <w:rsid w:val="00B26497"/>
    <w:rsid w:val="00B26EA5"/>
    <w:rsid w:val="00B37A52"/>
    <w:rsid w:val="00B37AA5"/>
    <w:rsid w:val="00B408F8"/>
    <w:rsid w:val="00B41C8D"/>
    <w:rsid w:val="00B5078E"/>
    <w:rsid w:val="00B60EDC"/>
    <w:rsid w:val="00B81CED"/>
    <w:rsid w:val="00BA7D71"/>
    <w:rsid w:val="00BC5A19"/>
    <w:rsid w:val="00BD2A96"/>
    <w:rsid w:val="00BF682C"/>
    <w:rsid w:val="00BF7644"/>
    <w:rsid w:val="00C03E8E"/>
    <w:rsid w:val="00C2612E"/>
    <w:rsid w:val="00C609B7"/>
    <w:rsid w:val="00C714D6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228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5373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14366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2022-05-26T04:00:00+00:00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305DB-8DF2-49AC-9053-A3DA4F20CE4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37EA191-F231-4BC1-AF47-321DBA0C2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2F6CF-4848-40F9-B00F-EFB62755E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2022-05-20T12:52:00Z</dcterms:created>
  <dcterms:modified xsi:type="dcterms:W3CDTF">2022-05-20T12:52:00Z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