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8B4C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40080</w:t>
      </w:r>
      <w:r w:rsidR="00E81C0B" w:rsidRPr="001E26DB">
        <w:t>     </w:t>
      </w:r>
    </w:p>
    <w:p w14:paraId="0808B4CC" w14:textId="77777777" w:rsidR="009F436C" w:rsidRPr="001E26DB" w:rsidRDefault="009F436C" w:rsidP="00382FEC"/>
    <w:p w14:paraId="0808B4CD" w14:textId="77777777" w:rsidR="003C744C" w:rsidRPr="001E26DB" w:rsidRDefault="003C744C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2554E" w14:paraId="0808B4D1" w14:textId="77777777" w:rsidTr="00B74EAB">
        <w:tc>
          <w:tcPr>
            <w:tcW w:w="2291" w:type="pct"/>
          </w:tcPr>
          <w:p w14:paraId="0808B4CE" w14:textId="77777777" w:rsidR="00417FB7" w:rsidRPr="001E26DB" w:rsidRDefault="0062554E" w:rsidP="008262A3">
            <w:r>
              <w:t>Le 29 septembre 2022</w:t>
            </w:r>
          </w:p>
        </w:tc>
        <w:tc>
          <w:tcPr>
            <w:tcW w:w="385" w:type="pct"/>
          </w:tcPr>
          <w:p w14:paraId="0808B4CF" w14:textId="77777777" w:rsidR="00417FB7" w:rsidRPr="001E26DB" w:rsidRDefault="00417FB7" w:rsidP="00382FEC"/>
        </w:tc>
        <w:tc>
          <w:tcPr>
            <w:tcW w:w="2324" w:type="pct"/>
          </w:tcPr>
          <w:p w14:paraId="0808B4D0" w14:textId="77777777" w:rsidR="00417FB7" w:rsidRPr="001E26DB" w:rsidRDefault="0062554E" w:rsidP="0027081E">
            <w:pPr>
              <w:rPr>
                <w:lang w:val="en-CA"/>
              </w:rPr>
            </w:pPr>
            <w:r>
              <w:t>September 29, 2022</w:t>
            </w:r>
          </w:p>
        </w:tc>
      </w:tr>
      <w:tr w:rsidR="00C2612E" w:rsidRPr="0062554E" w14:paraId="0808B4D5" w14:textId="77777777" w:rsidTr="00B74EAB">
        <w:tc>
          <w:tcPr>
            <w:tcW w:w="2291" w:type="pct"/>
            <w:tcMar>
              <w:top w:w="0" w:type="dxa"/>
              <w:bottom w:w="0" w:type="dxa"/>
            </w:tcMar>
          </w:tcPr>
          <w:p w14:paraId="0808B4D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0808B4D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0808B4D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808B4E7" w14:textId="77777777" w:rsidTr="00B74EAB">
        <w:tc>
          <w:tcPr>
            <w:tcW w:w="2291" w:type="pct"/>
          </w:tcPr>
          <w:p w14:paraId="0808B4D6" w14:textId="77777777" w:rsidR="00257E19" w:rsidRDefault="00257E19"/>
          <w:p w14:paraId="0808B4D7" w14:textId="77777777" w:rsidR="00257E19" w:rsidRDefault="00035901">
            <w:pPr>
              <w:pStyle w:val="SCCLsocPrefix"/>
            </w:pPr>
            <w:r>
              <w:t>ENTRE :</w:t>
            </w:r>
          </w:p>
          <w:p w14:paraId="0808B4D8" w14:textId="77777777" w:rsidR="00257E19" w:rsidRDefault="00035901">
            <w:pPr>
              <w:pStyle w:val="SCCLsocParty"/>
            </w:pPr>
            <w:r>
              <w:t>9086-4380 Québec inc.</w:t>
            </w:r>
            <w:r>
              <w:br/>
            </w:r>
          </w:p>
          <w:p w14:paraId="0808B4D9" w14:textId="3271ACDC" w:rsidR="00257E19" w:rsidRDefault="00035901">
            <w:pPr>
              <w:pStyle w:val="SCCLsocPartyRole"/>
            </w:pPr>
            <w:r>
              <w:t>Demande</w:t>
            </w:r>
            <w:r w:rsidR="008451DB">
              <w:t>resse</w:t>
            </w:r>
            <w:r>
              <w:br/>
            </w:r>
          </w:p>
          <w:p w14:paraId="0808B4DA" w14:textId="77777777" w:rsidR="00257E19" w:rsidRDefault="00035901">
            <w:pPr>
              <w:pStyle w:val="SCCLsocVersus"/>
            </w:pPr>
            <w:r>
              <w:t>- et -</w:t>
            </w:r>
          </w:p>
          <w:p w14:paraId="0808B4DB" w14:textId="77777777" w:rsidR="00257E19" w:rsidRDefault="00257E19"/>
          <w:p w14:paraId="0808B4DC" w14:textId="77777777" w:rsidR="00257E19" w:rsidRDefault="00035901">
            <w:pPr>
              <w:pStyle w:val="SCCLsocParty"/>
            </w:pPr>
            <w:r>
              <w:t>Ville de Saint-Hyacinthe</w:t>
            </w:r>
            <w:r>
              <w:br/>
            </w:r>
          </w:p>
          <w:p w14:paraId="0808B4DD" w14:textId="77777777" w:rsidR="00257E19" w:rsidRDefault="00035901">
            <w:pPr>
              <w:pStyle w:val="SCCLsocPartyRole"/>
            </w:pPr>
            <w:r>
              <w:t>Intimée</w:t>
            </w:r>
          </w:p>
        </w:tc>
        <w:tc>
          <w:tcPr>
            <w:tcW w:w="385" w:type="pct"/>
          </w:tcPr>
          <w:p w14:paraId="0808B4DE" w14:textId="77777777" w:rsidR="00824412" w:rsidRPr="00035901" w:rsidRDefault="00824412" w:rsidP="00375294"/>
        </w:tc>
        <w:tc>
          <w:tcPr>
            <w:tcW w:w="2324" w:type="pct"/>
          </w:tcPr>
          <w:p w14:paraId="0808B4DF" w14:textId="77777777" w:rsidR="00257E19" w:rsidRPr="006A5869" w:rsidRDefault="00257E19"/>
          <w:p w14:paraId="6EC187EB" w14:textId="1FCFB539" w:rsidR="008451DB" w:rsidRPr="00B74EAB" w:rsidRDefault="00035901">
            <w:pPr>
              <w:pStyle w:val="SCCLsocPrefix"/>
              <w:rPr>
                <w:lang w:val="en-US"/>
              </w:rPr>
            </w:pPr>
            <w:r w:rsidRPr="00B74EAB">
              <w:rPr>
                <w:lang w:val="en-US"/>
              </w:rPr>
              <w:t>BETWEEN:</w:t>
            </w:r>
          </w:p>
          <w:p w14:paraId="0808B4E1" w14:textId="77777777" w:rsidR="00257E19" w:rsidRPr="00B74EAB" w:rsidRDefault="00035901">
            <w:pPr>
              <w:pStyle w:val="SCCLsocParty"/>
              <w:rPr>
                <w:lang w:val="en-US"/>
              </w:rPr>
            </w:pPr>
            <w:r w:rsidRPr="00B74EAB">
              <w:rPr>
                <w:lang w:val="en-US"/>
              </w:rPr>
              <w:t>9086-4380 Québec inc.</w:t>
            </w:r>
            <w:r w:rsidRPr="00B74EAB">
              <w:rPr>
                <w:lang w:val="en-US"/>
              </w:rPr>
              <w:br/>
            </w:r>
          </w:p>
          <w:p w14:paraId="0808B4E2" w14:textId="77777777" w:rsidR="00257E19" w:rsidRPr="00B74EAB" w:rsidRDefault="00035901">
            <w:pPr>
              <w:pStyle w:val="SCCLsocPartyRole"/>
              <w:rPr>
                <w:lang w:val="en-US"/>
              </w:rPr>
            </w:pPr>
            <w:r w:rsidRPr="00B74EAB">
              <w:rPr>
                <w:lang w:val="en-US"/>
              </w:rPr>
              <w:t>Applicant</w:t>
            </w:r>
            <w:r w:rsidRPr="00B74EAB">
              <w:rPr>
                <w:lang w:val="en-US"/>
              </w:rPr>
              <w:br/>
            </w:r>
          </w:p>
          <w:p w14:paraId="0808B4E3" w14:textId="77777777" w:rsidR="00257E19" w:rsidRPr="00B74EAB" w:rsidRDefault="00035901">
            <w:pPr>
              <w:pStyle w:val="SCCLsocVersus"/>
              <w:rPr>
                <w:lang w:val="en-US"/>
              </w:rPr>
            </w:pPr>
            <w:r w:rsidRPr="00B74EAB">
              <w:rPr>
                <w:lang w:val="en-US"/>
              </w:rPr>
              <w:t>- and -</w:t>
            </w:r>
          </w:p>
          <w:p w14:paraId="0808B4E4" w14:textId="77777777" w:rsidR="00257E19" w:rsidRPr="00B74EAB" w:rsidRDefault="00257E19">
            <w:pPr>
              <w:rPr>
                <w:lang w:val="en-US"/>
              </w:rPr>
            </w:pPr>
          </w:p>
          <w:p w14:paraId="0808B4E5" w14:textId="77777777" w:rsidR="00257E19" w:rsidRDefault="00035901">
            <w:pPr>
              <w:pStyle w:val="SCCLsocParty"/>
            </w:pPr>
            <w:r>
              <w:t>Ville de Saint-Hyacinthe</w:t>
            </w:r>
            <w:r>
              <w:br/>
            </w:r>
          </w:p>
          <w:p w14:paraId="0808B4E6" w14:textId="77777777" w:rsidR="00257E19" w:rsidRDefault="0003590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808B4EB" w14:textId="77777777" w:rsidTr="00B74EAB">
        <w:tc>
          <w:tcPr>
            <w:tcW w:w="2291" w:type="pct"/>
            <w:tcMar>
              <w:top w:w="0" w:type="dxa"/>
              <w:bottom w:w="0" w:type="dxa"/>
            </w:tcMar>
          </w:tcPr>
          <w:p w14:paraId="0808B4E8" w14:textId="77777777" w:rsidR="00824412" w:rsidRPr="00035901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0808B4E9" w14:textId="77777777" w:rsidR="00824412" w:rsidRPr="00035901" w:rsidRDefault="00824412" w:rsidP="00375294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0808B4EA" w14:textId="77777777" w:rsidR="00824412" w:rsidRPr="00035901" w:rsidRDefault="00824412" w:rsidP="00B408F8"/>
        </w:tc>
      </w:tr>
      <w:tr w:rsidR="00824412" w:rsidRPr="006A5869" w14:paraId="0808B4F8" w14:textId="77777777" w:rsidTr="00B74EAB">
        <w:tc>
          <w:tcPr>
            <w:tcW w:w="2291" w:type="pct"/>
          </w:tcPr>
          <w:p w14:paraId="0808B4E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808B4ED" w14:textId="77777777" w:rsidR="0027081E" w:rsidRPr="001E26DB" w:rsidRDefault="0027081E" w:rsidP="0027081E">
            <w:pPr>
              <w:jc w:val="center"/>
            </w:pPr>
          </w:p>
          <w:p w14:paraId="0808B4EE" w14:textId="23BA9BE2" w:rsidR="00824412" w:rsidRDefault="0027081E" w:rsidP="0027081E">
            <w:pPr>
              <w:jc w:val="both"/>
            </w:pPr>
            <w:r w:rsidRPr="001E26DB">
              <w:t xml:space="preserve">La </w:t>
            </w:r>
            <w:r w:rsidR="00035901">
              <w:t xml:space="preserve">requête en prorogation du délai de signification et de dépôt de la demande d’autorisation d’appel est accueillie. </w:t>
            </w:r>
            <w:r w:rsidR="008451DB">
              <w:t xml:space="preserve">La </w:t>
            </w:r>
            <w:r w:rsidRPr="001E26DB">
              <w:t xml:space="preserve">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451DB">
              <w:t>500-10-007505-215</w:t>
            </w:r>
            <w:r w:rsidR="008451DB" w:rsidRPr="001E26DB">
              <w:t>,</w:t>
            </w:r>
            <w:r w:rsidR="008451DB">
              <w:t xml:space="preserve"> </w:t>
            </w:r>
            <w:r>
              <w:t xml:space="preserve">2021 QCCA 1808, </w:t>
            </w:r>
            <w:r w:rsidRPr="001E26DB">
              <w:t xml:space="preserve">daté du </w:t>
            </w:r>
            <w:r>
              <w:t>30 novembre 2021</w:t>
            </w:r>
            <w:r w:rsidRPr="001E26DB">
              <w:t>, est</w:t>
            </w:r>
            <w:r w:rsidR="00035901">
              <w:t xml:space="preserve"> rejetée</w:t>
            </w:r>
            <w:r w:rsidRPr="001E26DB">
              <w:t>.</w:t>
            </w:r>
          </w:p>
          <w:p w14:paraId="0808B4EF" w14:textId="77777777" w:rsidR="00035901" w:rsidRDefault="00035901" w:rsidP="0027081E">
            <w:pPr>
              <w:jc w:val="both"/>
            </w:pPr>
          </w:p>
          <w:p w14:paraId="0808B4F0" w14:textId="349441F9" w:rsidR="00622562" w:rsidRPr="001E26DB" w:rsidRDefault="006A5869" w:rsidP="00D27D4E">
            <w:pPr>
              <w:jc w:val="both"/>
            </w:pPr>
            <w:r>
              <w:t>Le juge en c</w:t>
            </w:r>
            <w:r w:rsidR="00035901">
              <w:t>hef n’a pas participé au jugement.</w:t>
            </w:r>
          </w:p>
        </w:tc>
        <w:tc>
          <w:tcPr>
            <w:tcW w:w="385" w:type="pct"/>
          </w:tcPr>
          <w:p w14:paraId="0808B4F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0808B4F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808B4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808B4F4" w14:textId="5F43945F" w:rsidR="00035901" w:rsidRDefault="00035901" w:rsidP="006C1359">
            <w:pPr>
              <w:jc w:val="both"/>
              <w:rPr>
                <w:lang w:val="en-CA"/>
              </w:rPr>
            </w:pPr>
            <w:r w:rsidRPr="00035901">
              <w:rPr>
                <w:lang w:val="en-CA"/>
              </w:rPr>
              <w:t xml:space="preserve">The </w:t>
            </w:r>
            <w:r>
              <w:rPr>
                <w:lang w:val="en-CA"/>
              </w:rPr>
              <w:t xml:space="preserve">motion for an extension of time to serve and file the </w:t>
            </w:r>
            <w:r w:rsidRPr="00035901">
              <w:rPr>
                <w:lang w:val="en-CA"/>
              </w:rPr>
              <w:t>application for leave to appeal is granted</w:t>
            </w:r>
            <w:r>
              <w:rPr>
                <w:lang w:val="en-CA"/>
              </w:rPr>
              <w:t xml:space="preserve">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35901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8451DB" w:rsidRPr="00035901">
              <w:rPr>
                <w:lang w:val="en-US"/>
              </w:rPr>
              <w:t>500-10-007505-215</w:t>
            </w:r>
            <w:r w:rsidR="008451DB" w:rsidRPr="001E26DB">
              <w:rPr>
                <w:lang w:val="en-CA"/>
              </w:rPr>
              <w:t xml:space="preserve">, </w:t>
            </w:r>
            <w:r w:rsidR="0027081E" w:rsidRPr="00035901">
              <w:rPr>
                <w:lang w:val="en-US"/>
              </w:rPr>
              <w:t xml:space="preserve">2021 QCCA 1808,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35901">
              <w:rPr>
                <w:lang w:val="en-US"/>
              </w:rPr>
              <w:t>November 30, 2021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</w:p>
          <w:p w14:paraId="0808B4F5" w14:textId="77777777" w:rsidR="00035901" w:rsidRDefault="00035901" w:rsidP="006C1359">
            <w:pPr>
              <w:jc w:val="both"/>
              <w:rPr>
                <w:lang w:val="en-CA"/>
              </w:rPr>
            </w:pPr>
          </w:p>
          <w:p w14:paraId="0F1E7010" w14:textId="77777777" w:rsidR="008451DB" w:rsidRDefault="008451DB" w:rsidP="006C1359">
            <w:pPr>
              <w:jc w:val="both"/>
              <w:rPr>
                <w:lang w:val="en-CA"/>
              </w:rPr>
            </w:pPr>
          </w:p>
          <w:p w14:paraId="0808B4F6" w14:textId="77777777" w:rsidR="00824412" w:rsidRPr="00035901" w:rsidRDefault="00035901" w:rsidP="006C1359">
            <w:pPr>
              <w:jc w:val="both"/>
              <w:rPr>
                <w:lang w:val="en-US"/>
              </w:rPr>
            </w:pPr>
            <w:r w:rsidRPr="00035901">
              <w:rPr>
                <w:lang w:val="en-US"/>
              </w:rPr>
              <w:t>The Chief Justice took no part in the judg</w:t>
            </w:r>
            <w:r>
              <w:rPr>
                <w:lang w:val="en-US"/>
              </w:rPr>
              <w:t>ment.</w:t>
            </w:r>
          </w:p>
          <w:p w14:paraId="0808B4F7" w14:textId="77777777" w:rsidR="00622562" w:rsidRPr="00035901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808B4F9" w14:textId="77777777" w:rsidR="009F436C" w:rsidRPr="00035901" w:rsidRDefault="009F436C" w:rsidP="00382FEC">
      <w:pPr>
        <w:rPr>
          <w:lang w:val="en-US"/>
        </w:rPr>
      </w:pPr>
    </w:p>
    <w:p w14:paraId="0808B4FA" w14:textId="77777777" w:rsidR="009F436C" w:rsidRPr="00035901" w:rsidRDefault="009F436C" w:rsidP="00417FB7">
      <w:pPr>
        <w:jc w:val="center"/>
        <w:rPr>
          <w:lang w:val="en-US"/>
        </w:rPr>
      </w:pPr>
    </w:p>
    <w:p w14:paraId="0808B4FB" w14:textId="77777777" w:rsidR="00655333" w:rsidRPr="00B74EAB" w:rsidRDefault="00655333" w:rsidP="00655333">
      <w:pPr>
        <w:jc w:val="center"/>
        <w:rPr>
          <w:lang w:val="en-US"/>
        </w:rPr>
      </w:pPr>
    </w:p>
    <w:p w14:paraId="0808B4FC" w14:textId="77777777" w:rsidR="00655333" w:rsidRPr="00B74EAB" w:rsidRDefault="00655333" w:rsidP="00655333">
      <w:pPr>
        <w:jc w:val="center"/>
        <w:rPr>
          <w:lang w:val="en-US"/>
        </w:rPr>
      </w:pPr>
    </w:p>
    <w:p w14:paraId="0808B4FD" w14:textId="77777777" w:rsidR="00655333" w:rsidRPr="00035901" w:rsidRDefault="00655333" w:rsidP="00655333">
      <w:pPr>
        <w:jc w:val="center"/>
      </w:pPr>
      <w:r w:rsidRPr="00035901">
        <w:t>J.C.S.C.</w:t>
      </w:r>
    </w:p>
    <w:p w14:paraId="0808B4FE" w14:textId="77777777" w:rsidR="009F436C" w:rsidRPr="00035901" w:rsidRDefault="00035901" w:rsidP="00035901">
      <w:pPr>
        <w:jc w:val="center"/>
      </w:pPr>
      <w:r>
        <w:t>J.S.C.C.</w:t>
      </w:r>
    </w:p>
    <w:sectPr w:rsidR="009F436C" w:rsidRPr="0003590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8B501" w14:textId="77777777" w:rsidR="00D27D4E" w:rsidRDefault="00D27D4E">
      <w:r>
        <w:separator/>
      </w:r>
    </w:p>
  </w:endnote>
  <w:endnote w:type="continuationSeparator" w:id="0">
    <w:p w14:paraId="0808B50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8B4FF" w14:textId="77777777" w:rsidR="00D27D4E" w:rsidRDefault="00D27D4E">
      <w:r>
        <w:separator/>
      </w:r>
    </w:p>
  </w:footnote>
  <w:footnote w:type="continuationSeparator" w:id="0">
    <w:p w14:paraId="0808B50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8B50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74EA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08B504" w14:textId="77777777" w:rsidR="00401B64" w:rsidRDefault="00401B64" w:rsidP="00401B64">
    <w:pPr>
      <w:rPr>
        <w:szCs w:val="24"/>
      </w:rPr>
    </w:pPr>
  </w:p>
  <w:p w14:paraId="0808B505" w14:textId="77777777" w:rsidR="00401B64" w:rsidRDefault="00401B64" w:rsidP="00401B64">
    <w:pPr>
      <w:rPr>
        <w:szCs w:val="24"/>
      </w:rPr>
    </w:pPr>
  </w:p>
  <w:p w14:paraId="0808B50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40080</w:t>
    </w:r>
    <w:r w:rsidR="00401B64">
      <w:rPr>
        <w:szCs w:val="24"/>
      </w:rPr>
      <w:t>     </w:t>
    </w:r>
  </w:p>
  <w:p w14:paraId="0808B50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808B508" w14:textId="77777777" w:rsidR="000452C9" w:rsidRDefault="000452C9" w:rsidP="000452C9"/>
      <w:p w14:paraId="0808B509" w14:textId="77777777" w:rsidR="000452C9" w:rsidRPr="001E26DB" w:rsidRDefault="000452C9" w:rsidP="000452C9"/>
      <w:p w14:paraId="0808B50A" w14:textId="77777777" w:rsidR="000452C9" w:rsidRPr="001E26DB" w:rsidRDefault="000452C9" w:rsidP="000452C9"/>
      <w:p w14:paraId="0808B50B" w14:textId="77777777" w:rsidR="000452C9" w:rsidRDefault="000452C9" w:rsidP="000452C9"/>
      <w:p w14:paraId="0808B50C" w14:textId="77777777" w:rsidR="000452C9" w:rsidRDefault="000452C9" w:rsidP="000452C9"/>
      <w:p w14:paraId="0808B50D" w14:textId="77777777" w:rsidR="000452C9" w:rsidRDefault="000452C9" w:rsidP="000452C9"/>
      <w:p w14:paraId="0808B50E" w14:textId="77777777" w:rsidR="000452C9" w:rsidRDefault="000452C9" w:rsidP="000452C9"/>
      <w:p w14:paraId="0808B50F" w14:textId="77777777" w:rsidR="000452C9" w:rsidRPr="001E26DB" w:rsidRDefault="000452C9" w:rsidP="000452C9"/>
      <w:p w14:paraId="0808B510" w14:textId="77777777" w:rsidR="000452C9" w:rsidRPr="001E26DB" w:rsidRDefault="000452C9" w:rsidP="000452C9"/>
      <w:p w14:paraId="0808B511" w14:textId="77777777" w:rsidR="000452C9" w:rsidRDefault="000452C9" w:rsidP="000452C9">
        <w:pPr>
          <w:pStyle w:val="Header"/>
        </w:pPr>
      </w:p>
      <w:p w14:paraId="0808B512" w14:textId="77777777" w:rsidR="001D6D96" w:rsidRPr="000452C9" w:rsidRDefault="00124E1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5901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4E14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57E19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5869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51DB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4EAB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08B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15C5A-7B54-48B4-8DD0-E54C9A2A3464}">
  <ds:schemaRefs>
    <ds:schemaRef ds:uri="http://purl.org/dc/elements/1.1/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065312-EDEE-4716-9DEA-7D825CAE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8DD2D-00AE-4773-BF81-93C7B6F71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2022-09-27T13:08:00Z</dcterms:created>
  <dcterms:modified xsi:type="dcterms:W3CDTF">2022-09-27T13:08:00Z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