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DFDA4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40538</w:t>
      </w:r>
      <w:r w:rsidR="00E81C0B" w:rsidRPr="001E26DB">
        <w:t>     </w:t>
      </w:r>
    </w:p>
    <w:p w14:paraId="6E5DFDA5" w14:textId="77777777" w:rsidR="009F436C" w:rsidRPr="001E26DB" w:rsidRDefault="009F436C" w:rsidP="00382FEC"/>
    <w:p w14:paraId="6E5DFDA6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6E5DFDAA" w14:textId="77777777" w:rsidTr="00B37A52">
        <w:tc>
          <w:tcPr>
            <w:tcW w:w="2269" w:type="pct"/>
          </w:tcPr>
          <w:p w14:paraId="6E5DFDA7" w14:textId="77777777" w:rsidR="00417FB7" w:rsidRPr="001E26DB" w:rsidRDefault="0062554E" w:rsidP="008B744F">
            <w:r>
              <w:t xml:space="preserve">Le </w:t>
            </w:r>
            <w:r w:rsidR="00304732">
              <w:t>10 août</w:t>
            </w:r>
            <w:r>
              <w:t xml:space="preserve"> 2023</w:t>
            </w:r>
          </w:p>
        </w:tc>
        <w:tc>
          <w:tcPr>
            <w:tcW w:w="381" w:type="pct"/>
          </w:tcPr>
          <w:p w14:paraId="6E5DFDA8" w14:textId="77777777" w:rsidR="00417FB7" w:rsidRPr="001E26DB" w:rsidRDefault="00417FB7" w:rsidP="00382FEC"/>
        </w:tc>
        <w:tc>
          <w:tcPr>
            <w:tcW w:w="2350" w:type="pct"/>
          </w:tcPr>
          <w:p w14:paraId="6E5DFDA9" w14:textId="77777777" w:rsidR="00417FB7" w:rsidRPr="001E26DB" w:rsidRDefault="00304732" w:rsidP="0027081E">
            <w:pPr>
              <w:rPr>
                <w:lang w:val="en-CA"/>
              </w:rPr>
            </w:pPr>
            <w:r>
              <w:t>August 10</w:t>
            </w:r>
            <w:r w:rsidR="0062554E">
              <w:t>, 2023</w:t>
            </w:r>
          </w:p>
        </w:tc>
      </w:tr>
      <w:tr w:rsidR="00C2612E" w:rsidRPr="0062554E" w14:paraId="6E5DFDAE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6E5DFDAB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E5DFDAC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E5DFDAD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367C7A" w14:paraId="6E5DFDC2" w14:textId="77777777" w:rsidTr="006A1E6D">
        <w:tc>
          <w:tcPr>
            <w:tcW w:w="2269" w:type="pct"/>
          </w:tcPr>
          <w:p w14:paraId="6E5DFDAF" w14:textId="77777777" w:rsidR="000034C2" w:rsidRDefault="000034C2"/>
          <w:p w14:paraId="6E5DFDB0" w14:textId="77777777" w:rsidR="000034C2" w:rsidRDefault="009327FA">
            <w:pPr>
              <w:pStyle w:val="SCCLsocPrefix"/>
            </w:pPr>
            <w:r>
              <w:t>ENTRE :</w:t>
            </w:r>
          </w:p>
          <w:p w14:paraId="6E5DFDB1" w14:textId="77777777" w:rsidR="008B744F" w:rsidRPr="008B744F" w:rsidRDefault="008B744F" w:rsidP="008B744F"/>
          <w:p w14:paraId="6E5DFDB2" w14:textId="77777777" w:rsidR="000034C2" w:rsidRDefault="009327FA">
            <w:pPr>
              <w:pStyle w:val="SCCLsocParty"/>
            </w:pPr>
            <w:r>
              <w:t>S.V.</w:t>
            </w:r>
            <w:r>
              <w:br/>
            </w:r>
          </w:p>
          <w:p w14:paraId="6E5DFDB3" w14:textId="77777777" w:rsidR="000034C2" w:rsidRDefault="009327FA">
            <w:pPr>
              <w:pStyle w:val="SCCLsocPartyRole"/>
            </w:pPr>
            <w:r>
              <w:t>Demandeur</w:t>
            </w:r>
            <w:r>
              <w:br/>
            </w:r>
          </w:p>
          <w:p w14:paraId="6E5DFDB4" w14:textId="77777777" w:rsidR="000034C2" w:rsidRDefault="009327FA">
            <w:pPr>
              <w:pStyle w:val="SCCLsocVersus"/>
            </w:pPr>
            <w:r>
              <w:t>- et -</w:t>
            </w:r>
          </w:p>
          <w:p w14:paraId="6E5DFDB5" w14:textId="77777777" w:rsidR="000034C2" w:rsidRDefault="000034C2"/>
          <w:p w14:paraId="6E5DFDB6" w14:textId="77777777" w:rsidR="000034C2" w:rsidRDefault="009327FA">
            <w:pPr>
              <w:pStyle w:val="SCCLsocParty"/>
            </w:pPr>
            <w:r>
              <w:t>Sa Majesté le Roi</w:t>
            </w:r>
            <w:r>
              <w:br/>
            </w:r>
          </w:p>
          <w:p w14:paraId="6E5DFDB7" w14:textId="77777777" w:rsidR="000034C2" w:rsidRDefault="009327FA" w:rsidP="008B744F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6E5DFDB8" w14:textId="77777777" w:rsidR="00824412" w:rsidRPr="00DE6713" w:rsidRDefault="00824412" w:rsidP="00375294"/>
        </w:tc>
        <w:tc>
          <w:tcPr>
            <w:tcW w:w="2350" w:type="pct"/>
          </w:tcPr>
          <w:p w14:paraId="6E5DFDB9" w14:textId="77777777" w:rsidR="000034C2" w:rsidRPr="00DE6713" w:rsidRDefault="000034C2"/>
          <w:p w14:paraId="6E5DFDBA" w14:textId="77777777" w:rsidR="000034C2" w:rsidRDefault="009327FA">
            <w:pPr>
              <w:pStyle w:val="SCCLsocPrefix"/>
              <w:rPr>
                <w:lang w:val="en-CA"/>
              </w:rPr>
            </w:pPr>
            <w:r w:rsidRPr="008B744F">
              <w:rPr>
                <w:lang w:val="en-CA"/>
              </w:rPr>
              <w:t>BETWEEN:</w:t>
            </w:r>
          </w:p>
          <w:p w14:paraId="6E5DFDBB" w14:textId="77777777" w:rsidR="008B744F" w:rsidRPr="008B744F" w:rsidRDefault="008B744F" w:rsidP="008B744F">
            <w:pPr>
              <w:rPr>
                <w:lang w:val="en-CA"/>
              </w:rPr>
            </w:pPr>
          </w:p>
          <w:p w14:paraId="6E5DFDBC" w14:textId="77777777" w:rsidR="000034C2" w:rsidRPr="008B744F" w:rsidRDefault="009327FA">
            <w:pPr>
              <w:pStyle w:val="SCCLsocParty"/>
              <w:rPr>
                <w:lang w:val="en-CA"/>
              </w:rPr>
            </w:pPr>
            <w:r w:rsidRPr="008B744F">
              <w:rPr>
                <w:lang w:val="en-CA"/>
              </w:rPr>
              <w:t>S.V.</w:t>
            </w:r>
            <w:r w:rsidRPr="008B744F">
              <w:rPr>
                <w:lang w:val="en-CA"/>
              </w:rPr>
              <w:br/>
            </w:r>
          </w:p>
          <w:p w14:paraId="6E5DFDBD" w14:textId="77777777" w:rsidR="000034C2" w:rsidRPr="008B744F" w:rsidRDefault="009327FA">
            <w:pPr>
              <w:pStyle w:val="SCCLsocPartyRole"/>
              <w:rPr>
                <w:lang w:val="en-CA"/>
              </w:rPr>
            </w:pPr>
            <w:r w:rsidRPr="008B744F">
              <w:rPr>
                <w:lang w:val="en-CA"/>
              </w:rPr>
              <w:t>Applicant</w:t>
            </w:r>
            <w:r w:rsidRPr="008B744F">
              <w:rPr>
                <w:lang w:val="en-CA"/>
              </w:rPr>
              <w:br/>
            </w:r>
          </w:p>
          <w:p w14:paraId="6E5DFDBE" w14:textId="77777777" w:rsidR="000034C2" w:rsidRPr="008B744F" w:rsidRDefault="009327FA">
            <w:pPr>
              <w:pStyle w:val="SCCLsocVersus"/>
              <w:rPr>
                <w:lang w:val="en-CA"/>
              </w:rPr>
            </w:pPr>
            <w:r w:rsidRPr="008B744F">
              <w:rPr>
                <w:lang w:val="en-CA"/>
              </w:rPr>
              <w:t>- and -</w:t>
            </w:r>
          </w:p>
          <w:p w14:paraId="6E5DFDBF" w14:textId="77777777" w:rsidR="000034C2" w:rsidRPr="008B744F" w:rsidRDefault="000034C2">
            <w:pPr>
              <w:rPr>
                <w:lang w:val="en-CA"/>
              </w:rPr>
            </w:pPr>
          </w:p>
          <w:p w14:paraId="6E5DFDC0" w14:textId="77777777" w:rsidR="000034C2" w:rsidRPr="008B744F" w:rsidRDefault="009327FA">
            <w:pPr>
              <w:pStyle w:val="SCCLsocParty"/>
              <w:rPr>
                <w:lang w:val="en-CA"/>
              </w:rPr>
            </w:pPr>
            <w:r w:rsidRPr="008B744F">
              <w:rPr>
                <w:lang w:val="en-CA"/>
              </w:rPr>
              <w:t>His Majesty the King</w:t>
            </w:r>
            <w:r w:rsidRPr="008B744F">
              <w:rPr>
                <w:lang w:val="en-CA"/>
              </w:rPr>
              <w:br/>
            </w:r>
          </w:p>
          <w:p w14:paraId="6E5DFDC1" w14:textId="77777777" w:rsidR="000034C2" w:rsidRPr="008B744F" w:rsidRDefault="009327FA">
            <w:pPr>
              <w:pStyle w:val="SCCLsocPartyRole"/>
              <w:rPr>
                <w:lang w:val="en-CA"/>
              </w:rPr>
            </w:pPr>
            <w:r w:rsidRPr="008B744F">
              <w:rPr>
                <w:lang w:val="en-CA"/>
              </w:rPr>
              <w:t>Respondent</w:t>
            </w:r>
          </w:p>
        </w:tc>
      </w:tr>
      <w:tr w:rsidR="00824412" w:rsidRPr="00367C7A" w14:paraId="6E5DFDC6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6E5DFDC3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E5DFDC4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E5DFDC5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367C7A" w14:paraId="6E5DFDD0" w14:textId="77777777" w:rsidTr="00B37A52">
        <w:tc>
          <w:tcPr>
            <w:tcW w:w="2269" w:type="pct"/>
          </w:tcPr>
          <w:p w14:paraId="6E5DFDC7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6E5DFDC8" w14:textId="77777777" w:rsidR="0027081E" w:rsidRPr="001E26DB" w:rsidRDefault="0027081E" w:rsidP="0027081E">
            <w:pPr>
              <w:jc w:val="center"/>
            </w:pPr>
          </w:p>
          <w:p w14:paraId="49B7D1F3" w14:textId="0CA94EB8" w:rsidR="007A1C1D" w:rsidRDefault="007A1C1D" w:rsidP="007A1C1D">
            <w:pPr>
              <w:jc w:val="both"/>
            </w:pPr>
            <w:r w:rsidRPr="00940ACE">
              <w:t>La requête en prorogation du délai de signification et de dépôt de la demande d’autorisation d’appel</w:t>
            </w:r>
            <w:r>
              <w:t xml:space="preserve"> (2022 QCCA 1574)</w:t>
            </w:r>
            <w:r w:rsidRPr="00940ACE">
              <w:t xml:space="preserve"> est accueillie.</w:t>
            </w:r>
            <w:r>
              <w:t xml:space="preserve"> </w:t>
            </w:r>
            <w:r w:rsidRPr="001E26DB">
              <w:t>L</w:t>
            </w:r>
            <w:r>
              <w:t>es</w:t>
            </w:r>
            <w:r w:rsidRPr="001E26DB">
              <w:t xml:space="preserve"> demande</w:t>
            </w:r>
            <w:r>
              <w:t>s</w:t>
            </w:r>
            <w:r w:rsidRPr="001E26DB">
              <w:t xml:space="preserve"> d’autorisation d’appel de</w:t>
            </w:r>
            <w:r>
              <w:t>s</w:t>
            </w:r>
            <w:r w:rsidRPr="001E26DB">
              <w:t xml:space="preserve"> </w:t>
            </w:r>
            <w:r>
              <w:t xml:space="preserve">arrêts </w:t>
            </w:r>
            <w:r w:rsidRPr="001E26DB">
              <w:t xml:space="preserve">de la </w:t>
            </w:r>
            <w:r>
              <w:t>Cour d’appel du Québec (Montréal)</w:t>
            </w:r>
            <w:r w:rsidRPr="001E26DB">
              <w:t>,</w:t>
            </w:r>
            <w:r>
              <w:t xml:space="preserve"> </w:t>
            </w:r>
            <w:r w:rsidRPr="001E26DB">
              <w:t>numéro</w:t>
            </w:r>
            <w:r>
              <w:t>s</w:t>
            </w:r>
            <w:r w:rsidRPr="001E26DB">
              <w:t xml:space="preserve"> </w:t>
            </w:r>
            <w:r>
              <w:t>500-10-007524-216 et 500-10-007658-212</w:t>
            </w:r>
            <w:r w:rsidRPr="001E26DB">
              <w:t xml:space="preserve">, </w:t>
            </w:r>
            <w:r>
              <w:t xml:space="preserve">2022 QCCA 1465, </w:t>
            </w:r>
            <w:r w:rsidRPr="001E26DB">
              <w:t xml:space="preserve">daté du </w:t>
            </w:r>
            <w:r>
              <w:t>21 octobre 2022</w:t>
            </w:r>
            <w:r w:rsidR="00132091">
              <w:t>,</w:t>
            </w:r>
            <w:r>
              <w:t xml:space="preserve"> et 2022 QCCA 1574, daté du 18 novembre 2022, sont rejetées</w:t>
            </w:r>
            <w:r w:rsidRPr="001E26DB">
              <w:t>.</w:t>
            </w:r>
          </w:p>
          <w:p w14:paraId="740150D7" w14:textId="6D49F7E4" w:rsidR="007A1C1D" w:rsidRDefault="007A1C1D" w:rsidP="007A1C1D">
            <w:pPr>
              <w:jc w:val="both"/>
            </w:pPr>
          </w:p>
          <w:p w14:paraId="3C17B180" w14:textId="77777777" w:rsidR="007A1C1D" w:rsidRDefault="007A1C1D" w:rsidP="0027081E">
            <w:pPr>
              <w:jc w:val="both"/>
            </w:pPr>
          </w:p>
          <w:p w14:paraId="6E5DFDCA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6E5DFDCB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E5DFDCC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6E5DFDCD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2F432894" w14:textId="7FBBAB74" w:rsidR="007A1C1D" w:rsidRDefault="007A1C1D" w:rsidP="007A1C1D">
            <w:pPr>
              <w:jc w:val="both"/>
              <w:rPr>
                <w:lang w:val="en-CA"/>
              </w:rPr>
            </w:pPr>
            <w:r w:rsidRPr="00DE6713">
              <w:rPr>
                <w:lang w:val="en-CA"/>
              </w:rPr>
              <w:t>The motion for an extensio</w:t>
            </w:r>
            <w:r>
              <w:rPr>
                <w:lang w:val="en-CA"/>
              </w:rPr>
              <w:t xml:space="preserve">n of time to serve and file the </w:t>
            </w:r>
            <w:r w:rsidRPr="00DE6713">
              <w:rPr>
                <w:lang w:val="en-CA"/>
              </w:rPr>
              <w:t xml:space="preserve">application for leave to appeal </w:t>
            </w:r>
            <w:r>
              <w:rPr>
                <w:lang w:val="en-CA"/>
              </w:rPr>
              <w:t xml:space="preserve">(2022 QCCA 1574) </w:t>
            </w:r>
            <w:r w:rsidRPr="00DE6713">
              <w:rPr>
                <w:lang w:val="en-CA"/>
              </w:rPr>
              <w:t xml:space="preserve">is granted. </w:t>
            </w:r>
            <w:r w:rsidRPr="001E26DB">
              <w:rPr>
                <w:lang w:val="en-CA"/>
              </w:rPr>
              <w:t>The application</w:t>
            </w:r>
            <w:r>
              <w:rPr>
                <w:lang w:val="en-CA"/>
              </w:rPr>
              <w:t>s</w:t>
            </w:r>
            <w:r w:rsidRPr="001E26DB">
              <w:rPr>
                <w:lang w:val="en-CA"/>
              </w:rPr>
              <w:t xml:space="preserve"> for leave to appeal from the judgment</w:t>
            </w:r>
            <w:r>
              <w:rPr>
                <w:lang w:val="en-CA"/>
              </w:rPr>
              <w:t>s</w:t>
            </w:r>
            <w:r w:rsidRPr="001E26DB">
              <w:rPr>
                <w:lang w:val="en-CA"/>
              </w:rPr>
              <w:t xml:space="preserve"> of the </w:t>
            </w:r>
            <w:r w:rsidRPr="008B744F">
              <w:rPr>
                <w:lang w:val="en-CA"/>
              </w:rPr>
              <w:t>Court of Appeal of Quebec (Montréal)</w:t>
            </w:r>
            <w:r w:rsidRPr="001E26DB">
              <w:rPr>
                <w:lang w:val="en-CA"/>
              </w:rPr>
              <w:t>, Number</w:t>
            </w:r>
            <w:r>
              <w:rPr>
                <w:lang w:val="en-CA"/>
              </w:rPr>
              <w:t>s</w:t>
            </w:r>
            <w:r w:rsidRPr="001E26DB">
              <w:rPr>
                <w:lang w:val="en-CA"/>
              </w:rPr>
              <w:t xml:space="preserve"> </w:t>
            </w:r>
            <w:r w:rsidRPr="008B744F">
              <w:rPr>
                <w:lang w:val="en-CA"/>
              </w:rPr>
              <w:t>500-10-007524-216</w:t>
            </w:r>
            <w:r>
              <w:rPr>
                <w:lang w:val="en-CA"/>
              </w:rPr>
              <w:t xml:space="preserve"> and</w:t>
            </w:r>
            <w:r w:rsidRPr="008B744F">
              <w:rPr>
                <w:lang w:val="en-CA"/>
              </w:rPr>
              <w:t xml:space="preserve"> 500-10-007658-212</w:t>
            </w:r>
            <w:r w:rsidRPr="001E26DB">
              <w:rPr>
                <w:lang w:val="en-CA"/>
              </w:rPr>
              <w:t>,</w:t>
            </w:r>
            <w:r>
              <w:rPr>
                <w:lang w:val="en-CA"/>
              </w:rPr>
              <w:t xml:space="preserve"> 2022 QCCA 1465, dated October 21, 2022</w:t>
            </w:r>
            <w:r w:rsidR="002B18FD">
              <w:rPr>
                <w:lang w:val="en-CA"/>
              </w:rPr>
              <w:t>,</w:t>
            </w:r>
            <w:r>
              <w:rPr>
                <w:lang w:val="en-CA"/>
              </w:rPr>
              <w:t xml:space="preserve"> and</w:t>
            </w:r>
            <w:r w:rsidRPr="001E26DB">
              <w:rPr>
                <w:lang w:val="en-CA"/>
              </w:rPr>
              <w:t xml:space="preserve"> </w:t>
            </w:r>
            <w:r w:rsidRPr="008B744F">
              <w:rPr>
                <w:lang w:val="en-CA"/>
              </w:rPr>
              <w:t xml:space="preserve">2022 QCCA 1574, </w:t>
            </w:r>
            <w:r w:rsidRPr="001E26DB">
              <w:rPr>
                <w:lang w:val="en-CA"/>
              </w:rPr>
              <w:t xml:space="preserve">dated </w:t>
            </w:r>
            <w:r w:rsidRPr="008B744F">
              <w:rPr>
                <w:lang w:val="en-CA"/>
              </w:rPr>
              <w:t>November 18, 2022</w:t>
            </w:r>
            <w:r w:rsidR="002B18FD">
              <w:rPr>
                <w:lang w:val="en-CA"/>
              </w:rPr>
              <w:t>,</w:t>
            </w:r>
            <w:r>
              <w:rPr>
                <w:lang w:val="en-CA"/>
              </w:rPr>
              <w:t xml:space="preserve"> are dismissed</w:t>
            </w:r>
            <w:r w:rsidRPr="001E26DB">
              <w:rPr>
                <w:lang w:val="en-CA"/>
              </w:rPr>
              <w:t xml:space="preserve">. </w:t>
            </w:r>
          </w:p>
          <w:p w14:paraId="6E5DFDCF" w14:textId="77777777" w:rsidR="007A1C1D" w:rsidRPr="00367C7A" w:rsidRDefault="007A1C1D" w:rsidP="006C1359">
            <w:pPr>
              <w:jc w:val="both"/>
              <w:rPr>
                <w:b/>
                <w:lang w:val="en-CA"/>
              </w:rPr>
            </w:pPr>
          </w:p>
        </w:tc>
      </w:tr>
    </w:tbl>
    <w:p w14:paraId="6E5DFDD2" w14:textId="77777777" w:rsidR="009F436C" w:rsidRDefault="009F436C" w:rsidP="00417FB7">
      <w:pPr>
        <w:jc w:val="center"/>
        <w:rPr>
          <w:lang w:val="en-US"/>
        </w:rPr>
      </w:pPr>
    </w:p>
    <w:p w14:paraId="6E5DFDD3" w14:textId="77777777" w:rsidR="009327FA" w:rsidRPr="002C29B6" w:rsidRDefault="009327FA" w:rsidP="00417FB7">
      <w:pPr>
        <w:jc w:val="center"/>
        <w:rPr>
          <w:lang w:val="en-US"/>
        </w:rPr>
      </w:pPr>
    </w:p>
    <w:p w14:paraId="6E5DFDD4" w14:textId="77777777" w:rsidR="00655333" w:rsidRPr="008B744F" w:rsidRDefault="00655333" w:rsidP="00655333">
      <w:pPr>
        <w:jc w:val="center"/>
        <w:rPr>
          <w:lang w:val="en-US"/>
        </w:rPr>
      </w:pPr>
    </w:p>
    <w:p w14:paraId="6E5DFDD5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6E5DFDD6" w14:textId="77777777" w:rsidR="009F436C" w:rsidRPr="002C29B6" w:rsidRDefault="00655333" w:rsidP="008B744F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367C7A">
      <w:headerReference w:type="default" r:id="rId9"/>
      <w:headerReference w:type="first" r:id="rId10"/>
      <w:type w:val="continuous"/>
      <w:pgSz w:w="12240" w:h="15840"/>
      <w:pgMar w:top="720" w:right="1440" w:bottom="720" w:left="1440" w:header="1152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DFDD9" w14:textId="77777777" w:rsidR="00D27D4E" w:rsidRDefault="00D27D4E">
      <w:r>
        <w:separator/>
      </w:r>
    </w:p>
  </w:endnote>
  <w:endnote w:type="continuationSeparator" w:id="0">
    <w:p w14:paraId="6E5DFDDA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DFDD7" w14:textId="77777777" w:rsidR="00D27D4E" w:rsidRDefault="00D27D4E">
      <w:r>
        <w:separator/>
      </w:r>
    </w:p>
  </w:footnote>
  <w:footnote w:type="continuationSeparator" w:id="0">
    <w:p w14:paraId="6E5DFDD8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DFDDB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367C7A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E5DFDDC" w14:textId="77777777" w:rsidR="00401B64" w:rsidRDefault="00401B64" w:rsidP="00401B64">
    <w:pPr>
      <w:rPr>
        <w:szCs w:val="24"/>
      </w:rPr>
    </w:pPr>
  </w:p>
  <w:p w14:paraId="6E5DFDDD" w14:textId="77777777" w:rsidR="00401B64" w:rsidRDefault="00401B64" w:rsidP="00401B64">
    <w:pPr>
      <w:rPr>
        <w:szCs w:val="24"/>
      </w:rPr>
    </w:pPr>
  </w:p>
  <w:p w14:paraId="6E5DFDDE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40538</w:t>
    </w:r>
    <w:r w:rsidR="00401B64">
      <w:rPr>
        <w:szCs w:val="24"/>
      </w:rPr>
      <w:t>     </w:t>
    </w:r>
  </w:p>
  <w:p w14:paraId="6E5DFDDF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6E5DFDE0" w14:textId="77777777" w:rsidR="000452C9" w:rsidRDefault="000452C9" w:rsidP="000452C9"/>
      <w:p w14:paraId="6E5DFDE1" w14:textId="77777777" w:rsidR="000452C9" w:rsidRPr="001E26DB" w:rsidRDefault="000452C9" w:rsidP="000452C9"/>
      <w:p w14:paraId="6E5DFDE2" w14:textId="77777777" w:rsidR="000452C9" w:rsidRPr="001E26DB" w:rsidRDefault="000452C9" w:rsidP="000452C9"/>
      <w:p w14:paraId="6E5DFDE3" w14:textId="77777777" w:rsidR="000452C9" w:rsidRDefault="000452C9" w:rsidP="000452C9"/>
      <w:p w14:paraId="6E5DFDE4" w14:textId="77777777" w:rsidR="000452C9" w:rsidRDefault="000452C9" w:rsidP="000452C9"/>
      <w:p w14:paraId="6E5DFDE5" w14:textId="77777777" w:rsidR="000452C9" w:rsidRDefault="000452C9" w:rsidP="000452C9"/>
      <w:p w14:paraId="6E5DFDE6" w14:textId="77777777" w:rsidR="000452C9" w:rsidRDefault="000452C9" w:rsidP="000452C9"/>
      <w:p w14:paraId="6E5DFDE7" w14:textId="77777777" w:rsidR="000452C9" w:rsidRPr="001E26DB" w:rsidRDefault="000452C9" w:rsidP="000452C9"/>
      <w:p w14:paraId="6E5DFDE8" w14:textId="77777777" w:rsidR="000452C9" w:rsidRPr="001E26DB" w:rsidRDefault="000452C9" w:rsidP="000452C9"/>
      <w:p w14:paraId="6E5DFDE9" w14:textId="77777777" w:rsidR="000452C9" w:rsidRDefault="000452C9" w:rsidP="000452C9">
        <w:pPr>
          <w:pStyle w:val="Header"/>
        </w:pPr>
      </w:p>
      <w:p w14:paraId="6E5DFDEA" w14:textId="77777777" w:rsidR="001D6D96" w:rsidRPr="000452C9" w:rsidRDefault="007A1A70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removePersonalInformation/>
  <w:removeDateAndTime/>
  <w:embedSystemFonts/>
  <w:bordersDoNotSurroundHeader/>
  <w:bordersDoNotSurroundFooter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34C2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32091"/>
    <w:rsid w:val="0015263A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18FD"/>
    <w:rsid w:val="002B5FA6"/>
    <w:rsid w:val="002C29B6"/>
    <w:rsid w:val="00304732"/>
    <w:rsid w:val="0031097F"/>
    <w:rsid w:val="0031165C"/>
    <w:rsid w:val="00311ACE"/>
    <w:rsid w:val="003174AD"/>
    <w:rsid w:val="00367C7A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0C0F"/>
    <w:rsid w:val="00622562"/>
    <w:rsid w:val="0062554E"/>
    <w:rsid w:val="0064672C"/>
    <w:rsid w:val="006475C8"/>
    <w:rsid w:val="00650109"/>
    <w:rsid w:val="00655333"/>
    <w:rsid w:val="006935F7"/>
    <w:rsid w:val="006A1E6D"/>
    <w:rsid w:val="006B2A39"/>
    <w:rsid w:val="006C1359"/>
    <w:rsid w:val="006C2D2F"/>
    <w:rsid w:val="006F1DF9"/>
    <w:rsid w:val="00701109"/>
    <w:rsid w:val="007372EA"/>
    <w:rsid w:val="00754D21"/>
    <w:rsid w:val="0076003F"/>
    <w:rsid w:val="0079129C"/>
    <w:rsid w:val="007919AE"/>
    <w:rsid w:val="007A1A70"/>
    <w:rsid w:val="007A1C1D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B744F"/>
    <w:rsid w:val="008D6351"/>
    <w:rsid w:val="008F4A07"/>
    <w:rsid w:val="009327FA"/>
    <w:rsid w:val="00951EF6"/>
    <w:rsid w:val="00952ED2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6901"/>
    <w:rsid w:val="00BF7644"/>
    <w:rsid w:val="00C03E8E"/>
    <w:rsid w:val="00C2612E"/>
    <w:rsid w:val="00C609B7"/>
    <w:rsid w:val="00CF2E5D"/>
    <w:rsid w:val="00CF38E5"/>
    <w:rsid w:val="00D047BE"/>
    <w:rsid w:val="00D26BFF"/>
    <w:rsid w:val="00D27D4E"/>
    <w:rsid w:val="00D42339"/>
    <w:rsid w:val="00D61AC2"/>
    <w:rsid w:val="00D652D6"/>
    <w:rsid w:val="00DA5FEF"/>
    <w:rsid w:val="00DE063A"/>
    <w:rsid w:val="00DE6713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E5DF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8E5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8E5"/>
    <w:rPr>
      <w:rFonts w:ascii="Tahoma" w:hAnsi="Tahoma" w:cs="Tahoma"/>
      <w:sz w:val="2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8E5"/>
    <w:rPr>
      <w:rFonts w:ascii="Tahoma" w:eastAsiaTheme="minorHAnsi" w:hAnsi="Tahoma" w:cs="Tahoma"/>
      <w:sz w:val="28"/>
      <w:szCs w:val="16"/>
      <w:lang w:val="fr-CA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3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8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8E5"/>
    <w:rPr>
      <w:rFonts w:ascii="Times New Roman" w:eastAsiaTheme="minorHAnsi" w:hAnsi="Times New Roman"/>
      <w:sz w:val="20"/>
      <w:szCs w:val="20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8E5"/>
    <w:rPr>
      <w:rFonts w:ascii="Times New Roman" w:eastAsiaTheme="minorHAnsi" w:hAnsi="Times New Roman"/>
      <w:b/>
      <w:bCs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14973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2023-08-10T04:00:00+00:00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CBA07-06FA-4923-A741-5045E7A6FBF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ae4924-d04e-473c-aafa-3657aad971d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66EF06-4BE1-4E9A-96CD-F484D8EBD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2B971-5C86-4091-8DD7-2BE055628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2023-08-08T13:15:00Z</dcterms:created>
  <dcterms:modified xsi:type="dcterms:W3CDTF">2023-08-08T13:15:00Z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